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NotAktVV — Weitere Angaben bei Verfügungen von Todes wegen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Ist Gegenstand der Eintragung eine Verfügung von Todes wegen, deren Verbringung in die besondere amtliche Verwahrung der Notar veranlasst hat (§ 34 Absatz 1 und 2 des Beurkundungsgesetzes), so ist zu dieser Eintragung die Verbringung der Verfügung von Todes wegen in die besondere amtliche Verwahrung unter Angabe des Datums zu vermerken.</w:t>
      </w:r>
    </w:p>
    <w:p>
      <w:r>
        <w:t xml:space="preserve">(2) Ist Gegenstand der Eintragung ein notariell verwahrter Erbvertrag, so ist dies zu vermerken.</w:t>
      </w:r>
    </w:p>
    <w:p>
      <w:r>
        <w:t xml:space="preserve">(3) Zu der Eintragung eines notariell verwahrten Erbvertrags sind jeweils unter Angabe des Datums zu vermerken</w:t>
      </w:r>
    </w:p>
    <w:p>
      <w:pPr>
        <w:ind w:left="420"/>
      </w:pPr>
      <w:r>
        <w:t xml:space="preserve">1. dessen nachträgliche Verbringung in die besondere amtliche Verwahrung des Amtsgerichts,</w:t>
      </w:r>
    </w:p>
    <w:p>
      <w:pPr>
        <w:ind w:left="420"/>
      </w:pPr>
      <w:r>
        <w:t xml:space="preserve">2. dessen Rückgabe aus der notariellen Verwahrung und</w:t>
      </w:r>
    </w:p>
    <w:p>
      <w:pPr>
        <w:ind w:left="420"/>
      </w:pPr>
      <w:r>
        <w:t xml:space="preserve">3. dessen Ablieferung an das Amtsgericht nach Eintritt des Erbfalls.</w:t>
      </w:r>
    </w:p>
    <w:p>
      <w:r>
        <w:rPr>
          <w:color w:val="555555"/>
          <w:sz w:val="17"/>
        </w:rPr>
        <w:t xml:space="preserve">Zitiervorschlag: § 16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