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NotAktVV — Angabe der Urkundenart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Als Urkundenarten sind zu unterscheiden</w:t>
      </w:r>
    </w:p>
    <w:p>
      <w:pPr>
        <w:ind w:left="420"/>
      </w:pPr>
      <w:r>
        <w:t xml:space="preserve">1. Beglaubigungen von Unterschriften, Handzeichen oder qualifizierten elektronischen Signaturen mit Anfertigung eines Urkundenentwurfs,</w:t>
      </w:r>
    </w:p>
    <w:p>
      <w:pPr>
        <w:ind w:left="420"/>
      </w:pPr>
      <w:r>
        <w:t xml:space="preserve">2. Beglaubigungen von Unterschriften, Handzeichen oder qualifizierten elektronischen Signaturen ohne Anfertigung eines Urkundenentwurfs,</w:t>
      </w:r>
    </w:p>
    <w:p>
      <w:pPr>
        <w:ind w:left="420"/>
      </w:pPr>
      <w:r>
        <w:t xml:space="preserve">3. Verfügungen von Todes wegen,</w:t>
      </w:r>
    </w:p>
    <w:p>
      <w:pPr>
        <w:ind w:left="420"/>
      </w:pPr>
      <w:r>
        <w:t xml:space="preserve">4. Vermittlungen von Auseinandersetzungen und</w:t>
      </w:r>
    </w:p>
    <w:p>
      <w:pPr>
        <w:ind w:left="420"/>
      </w:pPr>
      <w:r>
        <w:t xml:space="preserve">5. sonstige Beurkundungen und Beschlüsse.</w:t>
      </w:r>
    </w:p>
    <w:p>
      <w:r>
        <w:t xml:space="preserve">Ist die Beurkundung mittels Videokommunikation oder im Wege der gemischten Beurkundung (§ 16e des Beurkundungsgesetzes) erfolgt, so ist dies anzugeben.</w:t>
      </w:r>
    </w:p>
    <w:p>
      <w:r>
        <w:t xml:space="preserve">(2) Die Bundesnotarkammer kann innerhalb der in Absatz 1 Satz 1 genannten Urkundenarten weitere Differenzierungen vorsehen.</w:t>
      </w:r>
    </w:p>
    <w:p>
      <w:r>
        <w:rPr>
          <w:color w:val="555555"/>
          <w:sz w:val="17"/>
        </w:rPr>
        <w:t xml:space="preserve">Zitiervorschlag: § 14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