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NotAktVV — Angabe der Beteiligten</w:t>
      </w:r>
    </w:p>
    <w:p>
      <w:r>
        <w:rPr>
          <w:color w:val="555555"/>
          <w:sz w:val="18"/>
        </w:rPr>
        <w:t xml:space="preserve">Verordnung über die Führung notarieller Akten und Verzeichnisse</w:t>
      </w:r>
    </w:p>
    <w:p>
      <w:r>
        <w:rPr>
          <w:color w:val="555555"/>
          <w:sz w:val="18"/>
        </w:rPr>
        <w:t xml:space="preserve">Stand: 31.12.2025 (konsolidierte Textfassung, kein amtliches Inkrafttretensdatum)</w:t>
      </w:r>
    </w:p>
    <w:p>
      <w:r>
        <w:t xml:space="preserve">(1) Als Beteiligte sind einzutragen</w:t>
      </w:r>
    </w:p>
    <w:p>
      <w:pPr>
        <w:ind w:left="420"/>
      </w:pPr>
      <w:r>
        <w:t xml:space="preserve">1. bei Niederschriften nach § 8 Absatz 1 des Beurkundungsgesetzes und elektronischen Niederschriften nach § 8 Absatz 2 und § 16b des Beurkundungsgesetzes die Erschienenen, deren Erklärungen beurkundet worden sind,</w:t>
      </w:r>
    </w:p>
    <w:p>
      <w:pPr>
        <w:ind w:left="420"/>
      </w:pPr>
      <w:r>
        <w:t xml:space="preserve">2. bei Beglaubigungen (§§ 39 bis 41 des Beurkundungsgesetzes) diejenigen, welche die Unterschrift, die qualifizierte elektronische Signatur, das Handzeichen oder die Zeichnung vollzogen oder anerkannt haben,</w:t>
      </w:r>
    </w:p>
    <w:p>
      <w:pPr>
        <w:ind w:left="420"/>
      </w:pPr>
      <w:r>
        <w:t xml:space="preserve">3. bei Vollstreckbarerklärungen (§ 796c Absatz 1 und § 1053 Absatz 4 der Zivilprozessordnung) die Parteien,</w:t>
      </w:r>
    </w:p>
    <w:p>
      <w:pPr>
        <w:ind w:left="420"/>
      </w:pPr>
      <w:r>
        <w:t xml:space="preserve">4. bei Amtshandlungen nach § 96 Absatz 3 Satz 1 und Absatz 5 Satz 2, § 98 Absatz 2 Satz 1 und § 99 Satz 1 des Sachenrechtsbereinigungsgesetzes die Beteiligten im Sinne des Sachenrechtsbereinigungsgesetzes,</w:t>
      </w:r>
    </w:p>
    <w:p>
      <w:pPr>
        <w:ind w:left="420"/>
      </w:pPr>
      <w:r>
        <w:t xml:space="preserve">5. bei allen übrigen Beurkundungen (§§ 36, 39, 39a und 43 des Beurkundungsgesetzes) diejenigen, welche die Beurkundung veranlasst haben.</w:t>
      </w:r>
    </w:p>
    <w:p>
      <w:r>
        <w:t xml:space="preserve">Sind mehr als 20 Beteiligte einzutragen, genügt auch eine zusammenfassende Bezeichnung, es sei denn, dass die Beteiligten in den Fällen der §§ 8 oder 16b des Beurkundungsgesetzes Erklärungen zur Niederschrift abgegeben haben.</w:t>
      </w:r>
    </w:p>
    <w:p>
      <w:r>
        <w:t xml:space="preserve">(2) Zu den Beteiligten sind anzugeben</w:t>
      </w:r>
    </w:p>
    <w:p>
      <w:pPr>
        <w:ind w:left="420"/>
      </w:pPr>
      <w:r>
        <w:t xml:space="preserve">1. der Vorname oder die Vornamen,</w:t>
      </w:r>
    </w:p>
    <w:p>
      <w:pPr>
        <w:ind w:left="420"/>
      </w:pPr>
      <w:r>
        <w:t xml:space="preserve">2. der Familienname,</w:t>
      </w:r>
    </w:p>
    <w:p>
      <w:pPr>
        <w:ind w:left="420"/>
      </w:pPr>
      <w:r>
        <w:t xml:space="preserve">3. der Geburtsname, wenn dieser nicht der Familienname ist,</w:t>
      </w:r>
    </w:p>
    <w:p>
      <w:pPr>
        <w:ind w:left="420"/>
      </w:pPr>
      <w:r>
        <w:t xml:space="preserve">4. das Geburtsdatum und</w:t>
      </w:r>
    </w:p>
    <w:p>
      <w:pPr>
        <w:ind w:left="420"/>
      </w:pPr>
      <w:r>
        <w:t xml:space="preserve">5. der Wohnort.</w:t>
      </w:r>
    </w:p>
    <w:p>
      <w:r>
        <w:t xml:space="preserve">Sofern dies zur Unterscheidung der Beteiligten erforderlich ist, sind weitere Angaben aufzunehmen. Haben Beteiligte in Vertretung für eine andere Person gehandelt und wurde dabei in eine Niederschrift oder elektronische Niederschrift statt des Wohnorts eines Beteiligten ein Dienst- oder Geschäftsort aufgenommen, so tritt dieser auch im Urkundenverzeichnis an die Stelle des Wohnorts. Bei Beteiligten, die keine natürlichen Personen sind, sind statt der in Satz 1 genannten Angaben ihr Name und ihr Sitz anzugeben.</w:t>
      </w:r>
    </w:p>
    <w:p>
      <w:r>
        <w:t xml:space="preserve">(3) Zu den Beteiligten kann angegeben werden</w:t>
      </w:r>
    </w:p>
    <w:p>
      <w:pPr>
        <w:ind w:left="420"/>
      </w:pPr>
      <w:r>
        <w:t xml:space="preserve">1. die Anschrift,</w:t>
      </w:r>
    </w:p>
    <w:p>
      <w:pPr>
        <w:ind w:left="420"/>
      </w:pPr>
      <w:r>
        <w:t xml:space="preserve">2. die steuerliche Identifikationsnummer,</w:t>
      </w:r>
    </w:p>
    <w:p>
      <w:pPr>
        <w:ind w:left="420"/>
      </w:pPr>
      <w:r>
        <w:t xml:space="preserve">3. die Wirtschafts-Identifikationsnummer und</w:t>
      </w:r>
    </w:p>
    <w:p>
      <w:pPr>
        <w:ind w:left="420"/>
      </w:pPr>
      <w:r>
        <w:t xml:space="preserve">4. die Registernummer.</w:t>
      </w:r>
    </w:p>
    <w:p>
      <w:r>
        <w:t xml:space="preserve">(4) Haben Beteiligte in Vertretung für eine andere Person gehandelt, sind neben den Beteiligten auch die vertretenen Personen aufzuführen. Absatz 2 Satz 1, 2 und 4 und Absatz 3 gelten insoweit entsprechend. Sind mehr als 20 vertretene Personen aufzuführen, genügt auch eine zusammenfassende Bezeichnung. Vertretende und vertretene Personen sollen jeweils als solche gekennzeichnet werden.</w:t>
      </w:r>
    </w:p>
    <w:p>
      <w:r>
        <w:t xml:space="preserve">(5) In gesellschaftsrechtlichen Angelegenheiten ist die Gesellschaft auch dann einzutragen, wenn sie nicht Beteiligte ist. Absatz 2 Satz 4 und Absatz 3 gelten entsprechend.</w:t>
      </w:r>
    </w:p>
    <w:p>
      <w:r>
        <w:rPr>
          <w:color w:val="555555"/>
          <w:sz w:val="17"/>
        </w:rPr>
        <w:t xml:space="preserve">Zitiervorschlag: § 12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