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NordSBefV — Änderung der Gebietsbestimmungen</w:t>
      </w:r>
    </w:p>
    <w:p>
      <w:r>
        <w:rPr>
          <w:color w:val="555555"/>
          <w:sz w:val="18"/>
        </w:rPr>
        <w:t xml:space="preserve">Nordsee-Befahrensverordnung</w:t>
      </w:r>
    </w:p>
    <w:p>
      <w:r>
        <w:rPr>
          <w:color w:val="555555"/>
          <w:sz w:val="18"/>
        </w:rPr>
        <w:t xml:space="preserve">Stand: 25.06.2023 (konsolidierte Textfassung, kein amtliches Inkrafttretensdatum)</w:t>
      </w:r>
    </w:p>
    <w:p>
      <w:r>
        <w:t xml:space="preserve">Die nach § 3 Absatz 2 in Verbindung mit Anlage 2 eingetragenen Allgemeinen Schutzgebiete und Besonderen Schutzgebiete sollen alle fünf Jahre in den Seekarten aktualisiert werden. Die nach § 3 Absatz 3 in Verbindung mit Anlage 3 erfolgenden Ausweisungen sollen für zehn Jahre Bestand haben.</w:t>
      </w:r>
    </w:p>
    <w:p>
      <w:r>
        <w:rPr>
          <w:color w:val="555555"/>
          <w:sz w:val="17"/>
        </w:rPr>
        <w:t xml:space="preserve">Zitiervorschlag: § 9 NordSBefV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https://recht.nulegal.eu/gesetze/NordSBefV/9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