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NordSBefV — Begriffsbestimmungen</w:t>
      </w:r>
    </w:p>
    <w:p>
      <w:r>
        <w:rPr>
          <w:color w:val="555555"/>
          <w:sz w:val="18"/>
        </w:rPr>
        <w:t xml:space="preserve">Nordsee-Befahrensverordnung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Im Sinne dieser Verordnung bedeutet</w:t>
      </w:r>
    </w:p>
    <w:p>
      <w:pPr>
        <w:ind w:left="420"/>
      </w:pPr>
      <w:r>
        <w:t xml:space="preserve">1. Wasserfahrzeug: jedes Fortbewegungsmittel zu Wasser mit oder ohne Maschinenantrieb, insbesondere Boote, Schiffe und Sportgeräte, einschließlich nicht wasserverdrängender Fahrzeuge, Bodeneffektfahrzeuge und Wasserflugzeuge;</w:t>
      </w:r>
    </w:p>
    <w:p>
      <w:pPr>
        <w:ind w:left="420"/>
      </w:pPr>
      <w:r>
        <w:t xml:space="preserve">2. Fahrwasser: ein Fahrwasser im Sinne des § 2 Absatz 1 Nummer 1 der Seeschifffahrtsstraßen-Ordnung oder des Artikels 1 Absatz 1 Nummer 2 der Schifffahrtsordnung Emsmündung;</w:t>
      </w:r>
    </w:p>
    <w:p>
      <w:pPr>
        <w:ind w:left="420"/>
      </w:pPr>
      <w:r>
        <w:t xml:space="preserve">3. Allgemeines Schutzgebiet: Teile der Bundeswasserstraße, die der „Schutzzone I“, „Ruhezone (Zone I)“ oder „Zone I“ der jeweils in § 2 Nummer 1 bis 3 genannten landesrechtlichen Vorschriften entsprechen und in Anlage 2 Abschnitt 2 bestimmt sind;</w:t>
      </w:r>
    </w:p>
    <w:p>
      <w:pPr>
        <w:ind w:left="420"/>
      </w:pPr>
      <w:r>
        <w:t xml:space="preserve">4. Besonderes Schutzgebiet: Teile der Bundeswasserstraße, die nach Anlage 2 Abschnitt 3 bestimmt sind;</w:t>
      </w:r>
    </w:p>
    <w:p>
      <w:pPr>
        <w:ind w:left="420"/>
      </w:pPr>
      <w:r>
        <w:t xml:space="preserve">5. Schutzzeiten: Kalendermäßig festgelegte Zeiten, die in Anlage 2 Abschnitt 3 bestimmt sind;</w:t>
      </w:r>
    </w:p>
    <w:p>
      <w:pPr>
        <w:ind w:left="420"/>
      </w:pPr>
      <w:r>
        <w:t xml:space="preserve">6. Schutzgebiets-Wasserwanderweg: eine Route für muskelkraftbetriebene Wasserfahrzeuge zum Befahren der Besonderen Schutzgebiete außerhalb der Fahrwasser, die in Anlage 3 Abschnitt C bestimmt ist;</w:t>
      </w:r>
    </w:p>
    <w:p>
      <w:pPr>
        <w:ind w:left="420"/>
      </w:pPr>
      <w:r>
        <w:t xml:space="preserve">7. Schutzgebiets-Route: eine Route zum Befahren der Besonderen Schutzgebiete außerhalb der Fahrwasser, die in Anlage 3 Abschnitt D bestimmt ist;</w:t>
      </w:r>
    </w:p>
    <w:p>
      <w:pPr>
        <w:ind w:left="420"/>
      </w:pPr>
      <w:r>
        <w:t xml:space="preserve">8. Schnellfahrkorridore: für den gewerblichen Verkehr zum Transport von Gütern und zur Beförderung von Personen in Anlage 3 Abschnitt E ausgewiesene Korridore;</w:t>
      </w:r>
    </w:p>
    <w:p>
      <w:pPr>
        <w:ind w:left="420"/>
      </w:pPr>
      <w:r>
        <w:t xml:space="preserve">9. Beste verfügbare Technik: ein technischer Entwicklungsstand, der entsprechend der Maßstäbe des Artikels 3 Nummer 10 der Richtlinie 2010/75/EU des Europäischen Parlaments und des Rates vom 24. November 2010 über Industrieemissionen (integrierte Vermeidung und Verminderung der Umweltverschmutzung) (ABl. L 334 vom 17.12.2010, S. 17) auf Wasserfahrzeuge anzuwenden ist.</w:t>
      </w:r>
    </w:p>
    <w:p>
      <w:r>
        <w:rPr>
          <w:color w:val="555555"/>
          <w:sz w:val="17"/>
        </w:rPr>
        <w:t xml:space="preserve">Zitiervorschlag: § 4 NordSBefV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https://recht.nulegal.eu/gesetze/NordSBefV/4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NordSBefV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