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NordSBefV — Räumlicher Geltungsbereich, Gebietsbestimmungen</w:t>
      </w:r>
    </w:p>
    <w:p>
      <w:r>
        <w:rPr>
          <w:color w:val="555555"/>
          <w:sz w:val="18"/>
        </w:rPr>
        <w:t xml:space="preserve">Nordsee-Befahrensverordnung</w:t>
      </w:r>
    </w:p>
    <w:p>
      <w:r>
        <w:rPr>
          <w:color w:val="555555"/>
          <w:sz w:val="18"/>
        </w:rPr>
        <w:t xml:space="preserve">Stand: 25.06.2023 (konsolidierte Textfassung, kein amtliches Inkrafttretensdatum)</w:t>
      </w:r>
    </w:p>
    <w:p>
      <w:r>
        <w:t xml:space="preserve">(1) Der Geltungsbereich dieser Verordnung, die Allgemeinen Schutzgebiete, die Besonderen Schutzgebiete, die Schnellfahrkorridore, die Trennlinie für die allgemeine Geschwindigkeitsbegrenzung, die Erlaubniszonen, Schutzgebiets-Routen und Schutzgebiets-Wasserwanderwege werden in Übersichtskarten in Anlage 1[1] dargestellt.</w:t>
      </w:r>
    </w:p>
    <w:p>
      <w:r>
        <w:t xml:space="preserve">(2) Diese Verordnung gilt auf in den nach § 2 bezeichneten Nationalparken gelegenen Bundeswasserstraßen im Sinne des Bundeswasserstraßengesetzes. Der räumliche Geltungsbereich dieser Verordnung, die Allgemeinen Schutzgebiete und die Besonderen Schutzgebiete bestimmen sich entsprechend nach Anlage 2. Von dem räumlichen Geltungsbereich dieser Verordnung ist der Geltungsbereich des Abkommens zwischen der Regierung der Bundesrepublik Deutschland und der Regierung des Königreichs der Niederlande über die Schifffahrtsordnung in der Emsmündung vom 22. Dezember 1986 (BGBl. 1987 II S. 142) ausgenommen.</w:t>
      </w:r>
    </w:p>
    <w:p>
      <w:r>
        <w:t xml:space="preserve">(3) Erlaubniszonen und Routen sind vorbehaltlich schifffahrtspolizeilicher Anordnungen im Einzelfall in Anlage 3 bestimmt.</w:t>
      </w:r>
    </w:p>
    <w:p>
      <w:r>
        <w:t xml:space="preserve">(4) Der räumliche Geltungsbereich dieser Verordnung, die Allgemeinen Schutzgebiete und deren landesrechtliche Entsprechungen sowie die Besonderen Schutzgebiete mit den Schutzzeiten sind in den amtlichen Seekarten des Bundesamtes für Seeschifffahrt und Hydrographie dargestellt. Die Darstellung in den Seekarten soll innerhalb von zwölf Monaten nach Inkrafttreten dieser Verordnung erfolgen.</w:t>
      </w:r>
    </w:p>
    <w:p>
      <w:r>
        <w:t xml:space="preserve">1 Die Anlagen 1 bis 3 werden als Anlageband zu dieser Ausgabe des Bundesgesetzblattes ausgegeben.</w:t>
      </w:r>
    </w:p>
    <w:p>
      <w:r>
        <w:rPr>
          <w:color w:val="555555"/>
          <w:sz w:val="17"/>
        </w:rPr>
        <w:t xml:space="preserve">Zitiervorschlag: § 3 NordSBefV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https://recht.nulegal.eu/gesetze/NordSBefV/3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