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NordSBefV — Zweck</w:t>
      </w:r>
    </w:p>
    <w:p>
      <w:r>
        <w:rPr>
          <w:color w:val="555555"/>
          <w:sz w:val="18"/>
        </w:rPr>
        <w:t xml:space="preserve">Nordsee-Befahrensverordnung</w:t>
      </w:r>
    </w:p>
    <w:p>
      <w:r>
        <w:rPr>
          <w:color w:val="555555"/>
          <w:sz w:val="18"/>
        </w:rPr>
        <w:t xml:space="preserve">Stand: 25.06.2023 (konsolidierte Textfassung, kein amtliches Inkrafttretensdatum)</w:t>
      </w:r>
    </w:p>
    <w:p>
      <w:r>
        <w:t xml:space="preserve">Diese Verordnung regelt zum Schutz der Natur und Landschaft und der Tier- und Pflanzenwelt das Befahren der Bundeswasserstraßen in den nach Landesrecht in der Nordsee ausgewiesenen Nationalparken, um zur Erreichung der Schutzzwecke dieser Nationalparke beizutragen.</w:t>
      </w:r>
    </w:p>
    <w:p>
      <w:r>
        <w:rPr>
          <w:color w:val="555555"/>
          <w:sz w:val="17"/>
        </w:rPr>
        <w:t xml:space="preserve">Zitiervorschlag: § 1 NordSBefV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https://recht.nulegal.eu/gesetze/NordSBefV/1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