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NiederlFrhEWGDV 1</w:t>
      </w:r>
    </w:p>
    <w:p>
      <w:r>
        <w:rPr>
          <w:color w:val="555555"/>
          <w:sz w:val="18"/>
        </w:rPr>
        <w:t xml:space="preserve">1. DV Niederlassungsfreiheit EWG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IV des Gesetzes zur Durchführung von Richtlinien der Europäischen Wirtschaftsgemeinschaft über die Niederlassungsfreiheit und den freien Dienstleistungsverkehr vom 13. August 1965 (Bundesgesetzbl. I S. 849) und auf Grund des § 2 des Zweiten Gesetzes zur Durchführung von Richtlinien der Europäischen Wirtschaftsgemeinschaft über die Niederlassungsfreiheit und den freien Dienstleistungsverkehr vom 14. Dezember 1970 (Bundesgesetzbl. I S. 1709) verordnet die Bundesregierung, nachdem der Entwurf dem Bundestag zur Kenntnisnahme zugeleitet worden ist, mit Zustimmung des Bundesrates:</w:t>
      </w:r>
    </w:p>
    <w:p>
      <w:r>
        <w:rPr>
          <w:color w:val="555555"/>
          <w:sz w:val="17"/>
        </w:rPr>
        <w:t xml:space="preserve">Zitiervorschlag: Eingangsformel NiederlFrhEWGDV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https://recht.nulegal.eu/gesetze/NiederlFrhEWGDV%201/eingangsformel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