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NiederlFrhEWGDV 1</w:t>
      </w:r>
    </w:p>
    <w:p>
      <w:r>
        <w:rPr>
          <w:color w:val="555555"/>
          <w:sz w:val="18"/>
        </w:rPr>
        <w:t xml:space="preserve">1. DV Niederlassungsfreiheit EWG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Nachweis der Sachkunde, der Sachkenntnis oder der fachlichen Eignung ist für einen Ausländer, der Staatsangehöriger eines Mitgliedstaates der EWG ist, für</w:t>
      </w:r>
    </w:p>
    <w:p>
      <w:pPr>
        <w:ind w:left="420"/>
      </w:pPr>
      <w:r>
        <w:t xml:space="preserve">1. den Einzelhandel mit Lebensmitteln sowie mit ärztlichen Hilfsmitteln, soweit es sich dabei nicht um Arzneimittel im Sinne des § 1 des Arzneimittelgesetzes vom 16. Mai 1961 (Bundesgesetzbl. I S. 533), zuletzt geändert durch das Kostenermächtigungs-Änderungsgesetz vom 23. Juni 1970 (Bundesgesetzbl. I S. 805), handelt (§ 4 Abs. 2 des Gesetzes über die Berufsausübung im Einzelhandel vom 5. August 1957, Bundesgesetzbl. I S. 1121), zuletzt geändert durch das Einführungsgesetz zum Gesetz über Ordnungswidrigkeiten vom 24. Mai 1968 (Bundesgesetzbl. I S. 503);</w:t>
      </w:r>
    </w:p>
    <w:p>
      <w:pPr>
        <w:ind w:left="420"/>
      </w:pPr>
      <w:r>
        <w:t xml:space="preserve">2. den Handel mit unedlen Metallen (§ 2 Abs. 4 des Gesetzes über den Verkehr mit unedlen Metallen, zuletzt geändert durch das Erste Gesetz zur Reform des Strafrechts);</w:t>
      </w:r>
    </w:p>
    <w:p>
      <w:pPr>
        <w:ind w:left="420"/>
      </w:pPr>
      <w:r>
        <w:t xml:space="preserve">3. den Vertrieb von Orden, Ehrenzeichen und Ordensbändern (§ 14 Abs. 1 des Gesetzes über Titel, Orden und Ehrenzeichen vom 26. Juli 1957, Bundesgesetzbl. I S. 844), zuletzt geändert durch das Erste Gesetz zur Reform des Strafrechts vom 25. Juni 1969 (Bundesgesetzbl. I S. 645);</w:t>
      </w:r>
    </w:p>
    <w:p>
      <w:r>
        <w:t xml:space="preserve">unter den in § 3 dieser Verordnung angegebenen Voraussetzungen als erbracht anzusehen.</w:t>
      </w:r>
    </w:p>
    <w:p>
      <w:r>
        <w:rPr>
          <w:color w:val="555555"/>
          <w:sz w:val="17"/>
        </w:rPr>
        <w:t xml:space="preserve">Zitiervorschlag: § 2 NiederlFrhEWGDV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https://recht.nulegal.eu/gesetze/NiederlFrhEWGDV%201/2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