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NiSV — Stimulation des Zentralen Nervensystems</w:t>
      </w:r>
    </w:p>
    <w:p>
      <w:r>
        <w:rPr>
          <w:color w:val="555555"/>
          <w:sz w:val="18"/>
        </w:rPr>
        <w:t xml:space="preserve">Verordnung zum Schutz vor schädlichen Wirkungen nichtionisierender Strahlung bei der Anwendung am Menschen</w:t>
      </w:r>
    </w:p>
    <w:p>
      <w:r>
        <w:rPr>
          <w:color w:val="555555"/>
          <w:sz w:val="18"/>
        </w:rPr>
        <w:t xml:space="preserve">Stand: 31.12.2020 (konsolidierte Textfassung, kein amtliches Inkrafttretensdatum)</w:t>
      </w:r>
    </w:p>
    <w:p>
      <w:r>
        <w:t xml:space="preserve">Anlagen zur Stimulation des zentralen Nervensystems am Menschen dürfen nur von approbierten Ärztinnen und Ärzten angewendet werden, die entsprechende fachliche Kenntnisse nach ärztlicher Weiterbildung oder Fortbildung nachweisen.</w:t>
      </w:r>
    </w:p>
    <w:p>
      <w:r>
        <w:rPr>
          <w:color w:val="555555"/>
          <w:sz w:val="17"/>
        </w:rPr>
        <w:t xml:space="preserve">Zitiervorschlag: § 8 NiSV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