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NiSV — Begriffsbestimmungen</w:t>
      </w:r>
    </w:p>
    <w:p>
      <w:r>
        <w:rPr>
          <w:color w:val="555555"/>
          <w:sz w:val="18"/>
        </w:rPr>
        <w:t xml:space="preserve">Verordnung zum Schutz vor schädlichen Wirkungen nichtionisierender Strahlung bei der Anwendung am Menschen</w:t>
      </w:r>
    </w:p>
    <w:p>
      <w:r>
        <w:rPr>
          <w:color w:val="555555"/>
          <w:sz w:val="18"/>
        </w:rPr>
        <w:t xml:space="preserve">Stand: 25.06.2023 (konsolidierte Textfassung, kein amtliches Inkrafttretensdatum)</w:t>
      </w:r>
    </w:p>
    <w:p>
      <w:r>
        <w:t xml:space="preserve">(1) Anlagen im Sinne dieser Verordnung sind:</w:t>
      </w:r>
    </w:p>
    <w:p>
      <w:pPr>
        <w:ind w:left="420"/>
      </w:pPr>
      <w:r>
        <w:t xml:space="preserve">1. Ultraschallgeräte, die</w:t>
      </w:r>
    </w:p>
    <w:p>
      <w:pPr>
        <w:ind w:left="780"/>
      </w:pPr>
      <w:r>
        <w:t xml:space="preserve">a) zu Schallintensitäten von mehr als 50 Milliwatt pro Quadratzentimeter am Auge oder von mehr als 100 Milliwatt pro Quadratzentimeter am übrigen Körper führen können,</w:t>
      </w:r>
    </w:p>
    <w:p>
      <w:pPr>
        <w:ind w:left="780"/>
      </w:pPr>
      <w:r>
        <w:t xml:space="preserve">b) zu einem mechanischen Index größer als 0,4 oder einem thermischen Index größer als 0,7 führen können oder</w:t>
      </w:r>
    </w:p>
    <w:p>
      <w:pPr>
        <w:ind w:left="780"/>
      </w:pPr>
      <w:r>
        <w:t xml:space="preserve">c) zur Bildgebung zu nichtmedizinischen Zwecken eingesetzt werden,</w:t>
      </w:r>
    </w:p>
    <w:p>
      <w:pPr>
        <w:ind w:left="420"/>
      </w:pPr>
      <w:r>
        <w:t xml:space="preserve">2. Lasereinrichtungen, die einen Laser der Klassen 1C, 2M, 3R, 3B oder 4 gemäß DIN EN 60825-1:2015 enthalten,</w:t>
      </w:r>
    </w:p>
    <w:p>
      <w:pPr>
        <w:ind w:left="420"/>
      </w:pPr>
      <w:r>
        <w:t xml:space="preserve">3. intensive Lichtquellen, die intensive gepulste oder ungepulste inkohärente optische Strahlung aussenden, deren Zweck es ist, einen wesentlichen Effekt auf das Zielgewebe auszuüben,</w:t>
      </w:r>
    </w:p>
    <w:p>
      <w:pPr>
        <w:ind w:left="420"/>
      </w:pPr>
      <w:r>
        <w:t xml:space="preserve">4. Hochfrequenzgeräte, die hochfrequente elektromagnetische Felder</w:t>
      </w:r>
    </w:p>
    <w:p>
      <w:pPr>
        <w:ind w:left="780"/>
      </w:pPr>
      <w:r>
        <w:t xml:space="preserve">a) im Frequenzbereich von mehr als 100 Kilohertz bis 300 Gigahertz aussenden, die bei ihrer Anwendung am Menschen zu spezifischen Absorptionsraten oder Leistungsdichten führen können, die die Basisgrenzwerte der Anlage 1 überschreiten können,</w:t>
      </w:r>
    </w:p>
    <w:p>
      <w:pPr>
        <w:ind w:left="780"/>
      </w:pPr>
      <w:r>
        <w:t xml:space="preserve">b) im Frequenzbereich von mehr als 100 Kilohertz bis zu 10 Megahertz aussenden, die bei ihrer Anwendung am Menschen im Körperinneren elektrische Feldstärken verursachen können, die die Basisgrenzwerte der Anlage 1 überschreiten, oder</w:t>
      </w:r>
    </w:p>
    <w:p>
      <w:pPr>
        <w:ind w:left="780"/>
      </w:pPr>
      <w:r>
        <w:t xml:space="preserve">c) im Frequenzbereich von mehr als 100 Kilohertz bis zu 110 Megahertz aussenden, die bei ihrer Anwendung am Menschen Kontaktströme hervorrufen können, die die Referenzwerte der Anlage 1 überschreiten,</w:t>
      </w:r>
    </w:p>
    <w:p>
      <w:pPr>
        <w:ind w:left="420"/>
      </w:pPr>
      <w:r>
        <w:t xml:space="preserve">5. Niederfrequenzgeräte, die im Frequenzbereich von 1 Hertz bis 100 Kilohertz elektrische oder magnetische Felder aussenden oder Ströme im Körper hervorrufen, die bei ihrer Anwendung am Menschen im Körperinneren elektrische Feldstärken verursachen können, die die Basisgrenzwerte der Anlage 1 überschreiten, oder Kontaktströme hervorrufen können, die die Referenzwerte der Anlage 1 überschreiten,</w:t>
      </w:r>
    </w:p>
    <w:p>
      <w:pPr>
        <w:ind w:left="420"/>
      </w:pPr>
      <w:r>
        <w:t xml:space="preserve">6. Gleichstromgeräte, die elektrischen Gleichstrom (Kontaktstrom) von mehr als 0,5 Milliampere und Stromdichten von mehr als 8 Milliampere pro Quadratmeter im Körper hervorrufen können,</w:t>
      </w:r>
    </w:p>
    <w:p>
      <w:pPr>
        <w:ind w:left="420"/>
      </w:pPr>
      <w:r>
        <w:t xml:space="preserve">7. Magnetfeldgeräte, die statische Magnetfelder von mehr als 400 Millitesla erzeugen, einschließlich Magnetresonanztomographen.</w:t>
      </w:r>
    </w:p>
    <w:p>
      <w:r>
        <w:t xml:space="preserve">(2) Im Sinne dieser Verordnung ist:</w:t>
      </w:r>
    </w:p>
    <w:p>
      <w:pPr>
        <w:ind w:left="420"/>
      </w:pPr>
      <w:r>
        <w:t xml:space="preserve">1. Anwendung zu nichtmedizinischen Zwecken: Anwendung, die nicht dem Zweck der Untersuchung und Behandlung einer Patientin oder eines Patienten, der Früherkennung von Krankheiten, der Schwangerschaftsvorsorge oder der medizinischen Forschung dient,</w:t>
      </w:r>
    </w:p>
    <w:p>
      <w:pPr>
        <w:ind w:left="420"/>
      </w:pPr>
      <w:r>
        <w:t xml:space="preserve">2. transkranielle Gleichstromstimulation: die Stimulation des Gehirns mittels Gleichstrom durch am Kopf angebrachte Elektroden,</w:t>
      </w:r>
    </w:p>
    <w:p>
      <w:pPr>
        <w:ind w:left="420"/>
      </w:pPr>
      <w:r>
        <w:t xml:space="preserve">3. transkranielle Wechselstromstimulation: die Stimulation des Gehirns mittels Wechselstrom durch am Kopf angebrachte Elektroden,</w:t>
      </w:r>
    </w:p>
    <w:p>
      <w:pPr>
        <w:ind w:left="420"/>
      </w:pPr>
      <w:r>
        <w:t xml:space="preserve">4. transkranielle Magnetfeldstimulation: die Stimulation des Gehirns durch Spulen, die Magnetfelder aussenden,</w:t>
      </w:r>
    </w:p>
    <w:p>
      <w:pPr>
        <w:ind w:left="420"/>
      </w:pPr>
      <w:r>
        <w:t xml:space="preserve">5. Anlage zur Stimulation des zentralen Nervensystems: eine Anlage zur transkraniellen Gleichstrom-, Wechselstrom- oder Magnetfeldstimulation oder eine gleichartige Anlage zur Stimulation des Rückenmarks,</w:t>
      </w:r>
    </w:p>
    <w:p>
      <w:pPr>
        <w:ind w:left="420"/>
      </w:pPr>
      <w:r>
        <w:t xml:space="preserve">6. transkutane elektrische Nervenstimulation: die Stimulation des peripheren Nervensystems durch am Körper angebrachte Elektroden,</w:t>
      </w:r>
    </w:p>
    <w:p>
      <w:pPr>
        <w:ind w:left="420"/>
      </w:pPr>
      <w:r>
        <w:t xml:space="preserve">7. elektrische Muskelstimulation: die Stimulation der Körpermuskulatur mit Stromimpulsen durch am Körper angebrachte Elektroden.</w:t>
      </w:r>
    </w:p>
    <w:p>
      <w:r>
        <w:rPr>
          <w:color w:val="555555"/>
          <w:sz w:val="17"/>
        </w:rPr>
        <w:t xml:space="preserve">Zitiervorschlag: § 2 NiSV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