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NiSV — Ordnungswidrigkeiten</w:t>
      </w:r>
    </w:p>
    <w:p>
      <w:r>
        <w:rPr>
          <w:color w:val="555555"/>
          <w:sz w:val="18"/>
        </w:rPr>
        <w:t xml:space="preserve">Verordnung zum Schutz vor schädlichen Wirkungen nichtionisierender Strahlung bei der Anwendung am Menschen</w:t>
      </w:r>
    </w:p>
    <w:p>
      <w:r>
        <w:rPr>
          <w:color w:val="555555"/>
          <w:sz w:val="18"/>
        </w:rPr>
        <w:t xml:space="preserve">Stand: 31.12.2020 (konsolidierte Textfassung, kein amtliches Inkrafttretensdatum)</w:t>
      </w:r>
    </w:p>
    <w:p>
      <w:r>
        <w:t xml:space="preserve">Ordnungswidrig im Sinne des § 8 Absatz 1 Nummer 3 des Gesetzes zum Schutz vor nichtionisierender Strahlung bei der Anwendung am Menschen handelt, wer vorsätzlich oder fahrlässig</w:t>
      </w:r>
    </w:p>
    <w:p>
      <w:pPr>
        <w:ind w:left="420"/>
      </w:pPr>
      <w:r>
        <w:t xml:space="preserve">1. entgegen § 3 Absatz 1 Nummer 1 nicht sicherstellt, dass eine Anlage gemäß Herstellerangaben installiert wird,</w:t>
      </w:r>
    </w:p>
    <w:p>
      <w:pPr>
        <w:ind w:left="420"/>
      </w:pPr>
      <w:r>
        <w:t xml:space="preserve">2. entgegen § 3 Absatz 1 Nummer 2 nicht sicherstellt, dass eine Einweisung erfolgt,</w:t>
      </w:r>
    </w:p>
    <w:p>
      <w:pPr>
        <w:ind w:left="420"/>
      </w:pPr>
      <w:r>
        <w:t xml:space="preserve">3. entgegen § 3 Absatz 1 Nummer 6 nicht sicherstellt, dass eine Person beraten und aufgeklärt wird,</w:t>
      </w:r>
    </w:p>
    <w:p>
      <w:pPr>
        <w:ind w:left="420"/>
      </w:pPr>
      <w:r>
        <w:t xml:space="preserve">4. entgegen § 3 Absatz 1 Nummer 7 oder 8 nicht sicherstellt, dass eine dort genannte Person geschützt wird,</w:t>
      </w:r>
    </w:p>
    <w:p>
      <w:pPr>
        <w:ind w:left="420"/>
      </w:pPr>
      <w:r>
        <w:t xml:space="preserve">5. entgegen § 3 Absatz 2 Satz 1 oder 3 nicht sicherstellt, dass eine Dokumentation erstellt wird,</w:t>
      </w:r>
    </w:p>
    <w:p>
      <w:pPr>
        <w:ind w:left="420"/>
      </w:pPr>
      <w:r>
        <w:t xml:space="preserve">6. entgegen § 3 Absatz 3 Satz 1 eine Anzeige nicht, nicht richtig, nicht vollständig oder nicht rechtzeitig erstattet,</w:t>
      </w:r>
    </w:p>
    <w:p>
      <w:pPr>
        <w:ind w:left="420"/>
      </w:pPr>
      <w:r>
        <w:t xml:space="preserve">7. entgegen § 4 Absatz 1 Satz 1 nicht sicherstellt, dass eine dort genannte Person über die Fachkunde verfügt,</w:t>
      </w:r>
    </w:p>
    <w:p>
      <w:pPr>
        <w:ind w:left="420"/>
      </w:pPr>
      <w:r>
        <w:t xml:space="preserve">8. entgegen § 5 Absatz 2, § 6 Absatz 2 oder § 9 Absatz 2 eine dort genannte Anwendung durchführt,</w:t>
      </w:r>
    </w:p>
    <w:p>
      <w:pPr>
        <w:ind w:left="420"/>
      </w:pPr>
      <w:r>
        <w:t xml:space="preserve">9. entgegen § 8 oder § 11 eine dort genannte Anlage oder einen Magnetresonanztomographen anwendet oder</w:t>
      </w:r>
    </w:p>
    <w:p>
      <w:pPr>
        <w:ind w:left="420"/>
      </w:pPr>
      <w:r>
        <w:t xml:space="preserve">10. entgegen § 10 bei der Anwendung von Ultraschallgeräten einen Fötus exponiert.</w:t>
      </w:r>
    </w:p>
    <w:p>
      <w:r>
        <w:rPr>
          <w:color w:val="555555"/>
          <w:sz w:val="17"/>
        </w:rPr>
        <w:t xml:space="preserve">Zitiervorschlag: § 12 NiSV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