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NiSV — Anwendung von Magnetresonanzverfahren</w:t>
      </w:r>
    </w:p>
    <w:p>
      <w:r>
        <w:rPr>
          <w:color w:val="555555"/>
          <w:sz w:val="18"/>
        </w:rPr>
        <w:t xml:space="preserve">Verordnung zum Schutz vor schädlichen Wirkungen nichtionisierender Strahlung bei der Anwendung am Menschen</w:t>
      </w:r>
    </w:p>
    <w:p>
      <w:r>
        <w:rPr>
          <w:color w:val="555555"/>
          <w:sz w:val="18"/>
        </w:rPr>
        <w:t xml:space="preserve">Stand: 31.12.2020 (konsolidierte Textfassung, kein amtliches Inkrafttretensdatum)</w:t>
      </w:r>
    </w:p>
    <w:p>
      <w:r>
        <w:t xml:space="preserve">Magnetresonanztomographen dürfen zu nichtmedizinischen Zwecken am Menschen nur unter Verantwortung einer Ärztin oder eines Arztes mit einer der sachgerechten Bedienung von Magnetresonanztomographen dienenden Fachkunde angewendet werden.</w:t>
      </w:r>
    </w:p>
    <w:p>
      <w:r>
        <w:rPr>
          <w:color w:val="555555"/>
          <w:sz w:val="17"/>
        </w:rPr>
        <w:t xml:space="preserve">Zitiervorschlag: § 11 NiSV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