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NiSV — Anwendung von Ultraschall an einer schwangeren Person</w:t>
      </w:r>
    </w:p>
    <w:p>
      <w:r>
        <w:rPr>
          <w:color w:val="555555"/>
          <w:sz w:val="18"/>
        </w:rPr>
        <w:t xml:space="preserve">Verordnung zum Schutz vor schädlichen Wirkungen nichtionisierender Strahlung bei der Anwendung am Menschen</w:t>
      </w:r>
    </w:p>
    <w:p>
      <w:r>
        <w:rPr>
          <w:color w:val="555555"/>
          <w:sz w:val="18"/>
        </w:rPr>
        <w:t xml:space="preserve">Stand: 31.12.2020 (konsolidierte Textfassung, kein amtliches Inkrafttretensdatum)</w:t>
      </w:r>
    </w:p>
    <w:p>
      <w:r>
        <w:t xml:space="preserve">Bei der Anwendung von Ultraschallgeräten zu nichtmedizinischen Zwecken darf ein Fötus nicht exponiert werden.</w:t>
      </w:r>
    </w:p>
    <w:p>
      <w:r>
        <w:rPr>
          <w:color w:val="555555"/>
          <w:sz w:val="17"/>
        </w:rPr>
        <w:t xml:space="preserve">Zitiervorschlag: § 10 NiSV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