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NiSV — Anwendungsbereich</w:t>
      </w:r>
    </w:p>
    <w:p>
      <w:r>
        <w:rPr>
          <w:color w:val="555555"/>
          <w:sz w:val="18"/>
        </w:rPr>
        <w:t xml:space="preserve">Verordnung zum Schutz vor schädlichen Wirkungen nichtionisierender Strahlung bei der Anwendung am Menschen</w:t>
      </w:r>
    </w:p>
    <w:p>
      <w:r>
        <w:rPr>
          <w:color w:val="555555"/>
          <w:sz w:val="18"/>
        </w:rPr>
        <w:t xml:space="preserve">Stand: 31.12.2020 (konsolidierte Textfassung, kein amtliches Inkrafttretensdatum)</w:t>
      </w:r>
    </w:p>
    <w:p>
      <w:r>
        <w:t xml:space="preserve">(1) Diese Verordnung gilt für den Betrieb von Anlagen zur Anwendung nichtionisierender Strahlung am Menschen, die zu kosmetischen oder sonstigen nichtmedizinischen Zwecken gewerblich oder im Rahmen sonstiger wirtschaftlicher Unternehmungen eingesetzt werden. Sie gilt nicht für den Betrieb von UV-Bestrahlungsgeräten im Sinne der UV-Schutz-Verordnung.</w:t>
      </w:r>
    </w:p>
    <w:p>
      <w:r>
        <w:t xml:space="preserve">(2) Ist der Anwendungsbereich des Medizinprodukterechts gegeben, geht es dieser Verordnung vor, soweit es gleiche oder weitergehende Anforderungen enthält.</w:t>
      </w:r>
    </w:p>
    <w:p>
      <w:r>
        <w:t xml:space="preserve">(3) Die Vorschriften des Arbeitsschutzgesetzes und die auf dieses Gesetz gestützten Rechtsverordnungen bleiben unberührt.</w:t>
      </w:r>
    </w:p>
    <w:p>
      <w:r>
        <w:rPr>
          <w:color w:val="555555"/>
          <w:sz w:val="17"/>
        </w:rPr>
        <w:t xml:space="preserve">Zitiervorschlag: § 1 NiSV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