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NiSG — Bußgeldvorschriften</w:t>
      </w:r>
    </w:p>
    <w:p>
      <w:r>
        <w:rPr>
          <w:color w:val="555555"/>
          <w:sz w:val="18"/>
        </w:rPr>
        <w:t xml:space="preserve">Gesetz zum Schutz vor nichtionisierender Strahlung bei der Anwendung am Menschen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2 Absatz 1 in Verbindung mit einer Rechtsverordnung nach § 5 Absatz 1 Nummer 1 einen dort genannten Wert überschreitet,</w:t>
      </w:r>
    </w:p>
    <w:p>
      <w:pPr>
        <w:ind w:left="420"/>
      </w:pPr>
      <w:r>
        <w:t xml:space="preserve">2. entgegen § 2 Absatz 4 in Verbindung mit einer Rechtsverordnung nach § 5 Absatz 1 Nummer 2 eine dort genannte Anforderung nicht einhält,</w:t>
      </w:r>
    </w:p>
    <w:p>
      <w:pPr>
        <w:ind w:left="420"/>
      </w:pPr>
      <w:r>
        <w:t xml:space="preserve">3. entgegen § 3 in Verbindung mit einer Rechtsverordnung nach § 5 Absatz 2 eine Anlage betreibt,</w:t>
      </w:r>
    </w:p>
    <w:p>
      <w:pPr>
        <w:ind w:left="420"/>
      </w:pPr>
      <w:r>
        <w:t xml:space="preserve">4. entgegen § 4 einer Minderjährigen oder einem Minderjährigen die Benutzung einer Anlage gestattet oder</w:t>
      </w:r>
    </w:p>
    <w:p>
      <w:pPr>
        <w:ind w:left="420"/>
      </w:pPr>
      <w:r>
        <w:t xml:space="preserve">5. einer vollziehbaren Untersagung nach § 6 Absatz 2 Nummer 2 oder Absatz 3 zuwiderhandelt.</w:t>
      </w:r>
    </w:p>
    <w:p>
      <w:r>
        <w:t xml:space="preserve">(2)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8 NiSG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https://recht.nulegal.eu/gesetze/NiSG/8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