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NiSG — Befugnisse der zuständigen Behörden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zur Überwachung der Einhaltung der Vorschriften dieses Gesetzes und der auf § 5 gestützten Rechtsverordnungen Anlagen oder deren Betrieb überprüfen. § 52 Absatz 1 Satz 1 bis 3, Absatz 2, 3 und 5 bis 7 des Bundes-Immissionsschutzgesetzes gilt entsprechend. Das Grundrecht der Unverletzlichkeit der Wohnung (Artikel 13 des Grundgesetzes) wird insoweit eingeschränkt.</w:t>
      </w:r>
    </w:p>
    <w:p>
      <w:r>
        <w:t xml:space="preserve">(2) Die zuständige Behörde kann diejenigen Anordnungen treffen, die erforderlich sind, um die Vorschriften dieses Gesetzes und der auf § 5 gestützten Rechtsverordnung durchzuführen, insbesondere</w:t>
      </w:r>
    </w:p>
    <w:p>
      <w:pPr>
        <w:ind w:left="420"/>
      </w:pPr>
      <w:r>
        <w:t xml:space="preserve">1. anordnen, dass eine Anlage von einer nach Landesrecht zuständigen Behörde bekannt gegebenen Stelle oder einer in gleicher Weise geeigneten Stelle überprüft wird,</w:t>
      </w:r>
    </w:p>
    <w:p>
      <w:pPr>
        <w:ind w:left="420"/>
      </w:pPr>
      <w:r>
        <w:t xml:space="preserve">2. untersagen, dass eine Anlage, die nicht den Anforderungen einer nach § 5 erlassenen Rechtsverordnung entspricht, weiter betrieben wird.</w:t>
      </w:r>
    </w:p>
    <w:p>
      <w:r>
        <w:t xml:space="preserve">(3) Kommt die Betreiberin oder der Betreiber einer Anlage einer vollziehbaren behördlichen Anordnung nach Absatz 2 Nummer 1 nicht nach, so kann die zuständige Behörde den Betrieb der Anlage ganz oder teilweise untersagen, bis die Anordnung erfüllt ist.</w:t>
      </w:r>
    </w:p>
    <w:p>
      <w:r>
        <w:rPr>
          <w:color w:val="555555"/>
          <w:sz w:val="17"/>
        </w:rPr>
        <w:t xml:space="preserve">Zitiervorschlag: § 6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