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NiSG — Nutzungsverbot für Minderjährige</w:t>
      </w:r>
    </w:p>
    <w:p>
      <w:r>
        <w:rPr>
          <w:color w:val="555555"/>
          <w:sz w:val="18"/>
        </w:rPr>
        <w:t xml:space="preserve">Gesetz zum Schutz vor nichtionisierender Strahlung bei der Anwendung am Menschen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Benutzung von Anlagen nach § 3 zur Bestrahlung der Haut mit künstlicher ultravioletter Strahlung in Sonnenstudios, ähnlichen Einrichtungen oder sonst öffentlich zugänglichen Räumen darf Minderjährigen nicht gestattet werden.</w:t>
      </w:r>
    </w:p>
    <w:p>
      <w:r>
        <w:rPr>
          <w:color w:val="555555"/>
          <w:sz w:val="17"/>
        </w:rPr>
        <w:t xml:space="preserve">Zitiervorschlag: § 4 NiSG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