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NiSG — Schutz in der Medizin</w:t>
      </w:r>
    </w:p>
    <w:p>
      <w:r>
        <w:rPr>
          <w:color w:val="555555"/>
          <w:sz w:val="18"/>
        </w:rPr>
        <w:t xml:space="preserve">Gesetz zum Schutz vor nichtionisierender Strahlung bei der Anwendung am Menschen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Ausübung der Heil- oder Zahnheilkunde am Menschen dürfen beim Betrieb von Anlagen, die nichtionisierende Strahlung aussenden können, die in einer Rechtsverordnung nach § 5 für bestimmte Anwendungsarten festgelegten Werte nur dann überschritten werden, wenn eine berechtigte Person hierfür die rechtfertigende Indikation gestellt hat.</w:t>
      </w:r>
    </w:p>
    <w:p>
      <w:r>
        <w:t xml:space="preserve">(2) Berechtigte Person nach Absatz 1 ist,</w:t>
      </w:r>
    </w:p>
    <w:p>
      <w:pPr>
        <w:ind w:left="420"/>
      </w:pPr>
      <w:r>
        <w:t xml:space="preserve">1. wer als Ärztin oder Arzt oder Zahnärztin oder Zahnarzt approbiert ist oder</w:t>
      </w:r>
    </w:p>
    <w:p>
      <w:pPr>
        <w:ind w:left="420"/>
      </w:pPr>
      <w:r>
        <w:t xml:space="preserve">2. wer sonst zur Ausübung des ärztlichen oder zahnärztlichen Berufs berechtigt ist</w:t>
      </w:r>
    </w:p>
    <w:p>
      <w:r>
        <w:t xml:space="preserve">und über die erforderliche Fachkunde verfügt, um die Risiken der jeweiligen Anwendung nichtionisierender Strahlung für den Menschen beurteilen zu können. Die nach Satz 1 erforderliche Fachkunde ist gegenüber der zuständigen Behörde auf Verlangen nachzuweisen.</w:t>
      </w:r>
    </w:p>
    <w:p>
      <w:r>
        <w:t xml:space="preserve">(3) Die rechtfertigende Indikation nach Absatz 1 ist die Entscheidung, dass und in welcher Weise nichtionisierende Strahlung am Menschen in der Heil- oder Zahnheilkunde angewendet wird. Sie erfordert die Feststellung, dass der gesundheitliche Nutzen einer Anwendung nichtionisierender Strahlung am Menschen größer ist als ihr Risiko.</w:t>
      </w:r>
    </w:p>
    <w:p>
      <w:r>
        <w:t xml:space="preserve">(4) Bei Anwendungen nach Absatz 1 sind die in einer Rechtsverordnung nach § 5 festgelegten weiteren Anforderungen einzuhalten.</w:t>
      </w:r>
    </w:p>
    <w:p>
      <w:r>
        <w:rPr>
          <w:color w:val="555555"/>
          <w:sz w:val="17"/>
        </w:rPr>
        <w:t xml:space="preserve">Zitiervorschlag: § 2 NiSG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https://recht.nulegal.eu/gesetze/NiSG/2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