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NiSG — Anwendungsbereich</w:t>
      </w:r>
    </w:p>
    <w:p>
      <w:r>
        <w:rPr>
          <w:color w:val="555555"/>
          <w:sz w:val="18"/>
        </w:rPr>
        <w:t xml:space="preserve">Gesetz zum Schutz vor nichtionisierender Strahlung bei der Anwendung am Menschen</w:t>
      </w:r>
    </w:p>
    <w:p>
      <w:r>
        <w:rPr>
          <w:color w:val="555555"/>
          <w:sz w:val="18"/>
        </w:rPr>
        <w:t xml:space="preserve">Stand: 26.05.2021 (konsolidierte Textfassung, kein amtliches Inkrafttretensdatum)</w:t>
      </w:r>
    </w:p>
    <w:p>
      <w:r>
        <w:t xml:space="preserve">(1) Dieses Gesetz regelt den Schutz und die Vorsorge im Hinblick auf schädliche Wirkungen nichtionisierender Strahlung, die durch die Anwendung nichtionisierender Strahlung am Menschen verursacht werden können. Es gilt für</w:t>
      </w:r>
    </w:p>
    <w:p>
      <w:pPr>
        <w:ind w:left="420"/>
      </w:pPr>
      <w:r>
        <w:t xml:space="preserve">1. den Betrieb von Anlagen zur medizinischen Anwendung nichtionisierender Strahlung in der Heil- und Zahnheilkunde und</w:t>
      </w:r>
    </w:p>
    <w:p>
      <w:pPr>
        <w:ind w:left="420"/>
      </w:pPr>
      <w:r>
        <w:t xml:space="preserve">2. für den Betrieb von Anlagen zur Anwendung nichtionisierender Strahlung außerhalb der Medizin, soweit die Anlagen gewerblichen Zwecken dienen oder im Rahmen wirtschaftlicher Unternehmungen Anwendung finden.</w:t>
      </w:r>
    </w:p>
    <w:p>
      <w:r>
        <w:t xml:space="preserve">(2) Nichtionisierende Strahlung umfasst</w:t>
      </w:r>
    </w:p>
    <w:p>
      <w:pPr>
        <w:ind w:left="420"/>
      </w:pPr>
      <w:r>
        <w:t xml:space="preserve">1. elektrische, magnetische und elektromagnetische Felder in einem Frequenzbereich von 0 Hertz bis 300 Gigahertz,</w:t>
      </w:r>
    </w:p>
    <w:p>
      <w:pPr>
        <w:ind w:left="420"/>
      </w:pPr>
      <w:r>
        <w:t xml:space="preserve">2. optische Strahlung im Wellenlängenbereich von 100 Nanometern bis 1 Millimeter sowie</w:t>
      </w:r>
    </w:p>
    <w:p>
      <w:pPr>
        <w:ind w:left="420"/>
      </w:pPr>
      <w:r>
        <w:t xml:space="preserve">3. Ultraschall im Frequenzbereich von 20 Kilohertz bis 1 Gigahertz.</w:t>
      </w:r>
    </w:p>
    <w:p>
      <w:r>
        <w:t xml:space="preserve">(3) Die Vorschriften des Arbeitsschutzgesetzes und die auf dieses Gesetz gestützten Rechtsverordnungen sowie die Vorschriften des Medizinprodukterechts bleiben unberührt.</w:t>
      </w:r>
    </w:p>
    <w:p>
      <w:r>
        <w:rPr>
          <w:color w:val="555555"/>
          <w:sz w:val="17"/>
        </w:rPr>
        <w:t xml:space="preserve">Zitiervorschlag: § 1 NiSG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https://recht.nulegal.eu/gesetze/NiSG/1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