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NeuGlV — Beschaffung von Abstimmungs- und Eintragungsunterlagen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Kreisabstimmungsleiter beschafft</w:t>
      </w:r>
    </w:p>
    <w:p>
      <w:pPr>
        <w:ind w:left="420"/>
      </w:pPr>
      <w:r>
        <w:t xml:space="preserve">1. die Stimmscheinvordrucke,</w:t>
      </w:r>
    </w:p>
    <w:p>
      <w:pPr>
        <w:ind w:left="420"/>
      </w:pPr>
      <w:r>
        <w:t xml:space="preserve">2. gleiche Stimm- und Stimmbriefumschläge sowie die Merkblätter für die Briefabstimmung,</w:t>
      </w:r>
    </w:p>
    <w:p>
      <w:pPr>
        <w:ind w:left="420"/>
      </w:pPr>
      <w:r>
        <w:t xml:space="preserve">3. die Vordrucke für Schnellmeldungen,</w:t>
      </w:r>
    </w:p>
    <w:p>
      <w:pPr>
        <w:ind w:left="420"/>
      </w:pPr>
      <w:r>
        <w:t xml:space="preserve">4. die Vordrucke für die Zusammenstellung der endgültigen Abstimmungsergebnisse,</w:t>
      </w:r>
    </w:p>
    <w:p>
      <w:pPr>
        <w:ind w:left="420"/>
      </w:pPr>
      <w:r>
        <w:t xml:space="preserve">5. die Vordrucke für die Abstimmungsniederschriften zur Ermittlung und Feststellung des Briefabstimmungsergebnisses</w:t>
      </w:r>
    </w:p>
    <w:p>
      <w:r>
        <w:t xml:space="preserve">für seinen Kreis oder seine kreisfreie Stadt. Der Kreiseintragungsleiter beschafft für seinen Kreis oder seine kreisfreie Stadt die Eintragungslisten und die Unterlagen für das Volksbegehren, die den im Satz 1 Nr. 1, 3 und 4 bezeichneten Unterlagen entsprechen.</w:t>
      </w:r>
    </w:p>
    <w:p>
      <w:r>
        <w:t xml:space="preserve">(2) Der Landesabstimmungsleiter beschafft</w:t>
      </w:r>
    </w:p>
    <w:p>
      <w:pPr>
        <w:ind w:left="420"/>
      </w:pPr>
      <w:r>
        <w:t xml:space="preserve">1. die Stimmzettel,</w:t>
      </w:r>
    </w:p>
    <w:p>
      <w:pPr>
        <w:ind w:left="420"/>
      </w:pPr>
      <w:r>
        <w:t xml:space="preserve">2. die Stimmumschläge für die Abstimmung mit Stimmurnen.</w:t>
      </w:r>
    </w:p>
    <w:p>
      <w:r>
        <w:t xml:space="preserve">(3) Die Gemeindebehörde beschafft die für die Stimm- und Eintragungsbezirke sowie die Gemeinden erforderlichen Vordrucke, soweit nicht Gesamt-, Landes- oder Kreisabstimmungs- oder -eintragungsleiter die Lieferung übernehmen.</w:t>
      </w:r>
    </w:p>
    <w:p>
      <w:r>
        <w:rPr>
          <w:color w:val="555555"/>
          <w:sz w:val="17"/>
        </w:rPr>
        <w:t xml:space="preserve">Zitiervorschlag: § 96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