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NeuGlV — Allgemeine Stimmbezirke und Sonderstimmbezirke</w:t>
      </w:r>
    </w:p>
    <w:p>
      <w:r>
        <w:rPr>
          <w:color w:val="555555"/>
          <w:sz w:val="18"/>
        </w:rPr>
        <w:t xml:space="preserve">Neugliederungsdurchführungsverordnung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Gemeinden werden in Stimmbezirke eingeteilt. Die Stimmbezirke dürfen die Grenzen der Abstimmungsbereiche nicht überschreiten.</w:t>
      </w:r>
    </w:p>
    <w:p>
      <w:r>
        <w:t xml:space="preserve">(2) Im übrigen sind die Vorschriften der Bundeswahlordnung über die Bildung der Wahlbezirke anzuwenden.</w:t>
      </w:r>
    </w:p>
    <w:p>
      <w:r>
        <w:rPr>
          <w:color w:val="555555"/>
          <w:sz w:val="17"/>
        </w:rPr>
        <w:t xml:space="preserve">Zitiervorschlag: § 9 NeuGlV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https://recht.nulegal.eu/gesetze/NeuGlV/9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