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NeuGlV — Abschluß der Eintragungsblätter in den Eintragungsbezirken</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Am letzten Tag der Eintragungsfrist ermittelt der Aufsichtsführende im Anschluß an die Eintragungshandlung ohne Unterbrechung</w:t>
      </w:r>
    </w:p>
    <w:p>
      <w:pPr>
        <w:ind w:left="420"/>
      </w:pPr>
      <w:r>
        <w:t xml:space="preserve">1. die Zahl der Eintragungsberechtigten nach dem Eintragungsberechtigtenverzeichnis,</w:t>
      </w:r>
    </w:p>
    <w:p>
      <w:pPr>
        <w:ind w:left="420"/>
      </w:pPr>
      <w:r>
        <w:t xml:space="preserve">2. die Zahl der Eintragungen insgesamt,</w:t>
      </w:r>
    </w:p>
    <w:p>
      <w:pPr>
        <w:ind w:left="420"/>
      </w:pPr>
      <w:r>
        <w:t xml:space="preserve">3. die Zahl der Eintragungen, gegen deren Gültigkeit der Aufsichtsführende keine Bedenken erhoben hat,</w:t>
      </w:r>
    </w:p>
    <w:p>
      <w:pPr>
        <w:ind w:left="420"/>
      </w:pPr>
      <w:r>
        <w:t xml:space="preserve">4. die Zahl der Eintragungen, gegen deren Gültigkeit der Aufsichtsführende nach den Vorschriften des § 77 Abs. 2 und des § 80 Satz 3 und 4 Bedenken erhoben hat.</w:t>
      </w:r>
    </w:p>
    <w:p>
      <w:r>
        <w:t xml:space="preserve">Eingetragene, die im Eintragungsberechtigtenverzeichnis gestrichen worden sind, sind als Eintragungsberechtigte nach Satz 1 Nr. 1 mitzuzählen, wenn sie sich vor dem Tag eingetragen haben, an dem die Voraussetzungen für die Streichung im Eintragungsberechtigtenverzeichnis (§ 59 Abs. 3) eingetreten sind.</w:t>
      </w:r>
    </w:p>
    <w:p>
      <w:r>
        <w:t xml:space="preserve">(2) Der Aufsichtsführende überträgt das nach Absatz 1 ermittelte vorläufige Eintragungsergebnis auf die Schnellmeldung und übermittelt es auf schnellstem Wege der Gemeindebehörde. Während der Übermittlung dürfen die Unterlagen über das Volksbegehren nicht unbeaufsichtigt oder unverschlossen bleiben.</w:t>
      </w:r>
    </w:p>
    <w:p>
      <w:r>
        <w:t xml:space="preserve">(3) Der Aufsichtsführende verpackt</w:t>
      </w:r>
    </w:p>
    <w:p>
      <w:pPr>
        <w:ind w:left="420"/>
      </w:pPr>
      <w:r>
        <w:t xml:space="preserve">1. die Eintragungsblätter, auf denen sich Eintragungen befinden,</w:t>
      </w:r>
    </w:p>
    <w:p>
      <w:pPr>
        <w:ind w:left="420"/>
      </w:pPr>
      <w:r>
        <w:t xml:space="preserve">2. die unbenutzten Eintragungsblätter,</w:t>
      </w:r>
    </w:p>
    <w:p>
      <w:pPr>
        <w:ind w:left="420"/>
      </w:pPr>
      <w:r>
        <w:t xml:space="preserve">3. die Eintragungsscheine und</w:t>
      </w:r>
    </w:p>
    <w:p>
      <w:pPr>
        <w:ind w:left="420"/>
      </w:pPr>
      <w:r>
        <w:t xml:space="preserve">4. die nach § 77 Abs. 2 Satz 3 und § 80 Satz 4 gefertigte Anlage mit den beigefügten Eintragungsscheinen,</w:t>
      </w:r>
    </w:p>
    <w:p>
      <w:r>
        <w:t xml:space="preserve">versiegelt das Paket und übergibt es zusammen mit den anderen Unterlagen über das Volksbegehren unverzüglich der Gemeindebehörde.</w:t>
      </w:r>
    </w:p>
    <w:p>
      <w:r>
        <w:t xml:space="preserve">(4) In Gesamteintragungsbezirken kann gesondert für jeden Teileintragungsbezirk nach den Absätzen 1 bis 3 verfahren werden, soweit das Eintragungsberechtigtenverzeichnis den Teileintragungsbezirken entsprechend geteilt ist. Dies gilt auch, wenn in einem Eintragungsbezirk mehrere Eintragungsräume eingerichtet sind.</w:t>
      </w:r>
    </w:p>
    <w:p>
      <w:r>
        <w:t xml:space="preserve">(5) In Sondereintragungsbezirken und gesperrten Wohnstätten wird nach Ablauf der für sie bestimmten Eintragungszeit nach den Absätzen 1 bis 3 verfahren. Die Schnellmeldung ist in das zu versiegelnde Paket zu legen. Die Gemeindebehörde öffnet das Paket nicht vor dem Ablauf der Eintragungsfrist. Vor diesem Zeitpunkt darf der Aufsichtsführende das Ergebnis Dritten nicht mitteilen.</w:t>
      </w:r>
    </w:p>
    <w:p>
      <w:r>
        <w:rPr>
          <w:color w:val="555555"/>
          <w:sz w:val="17"/>
        </w:rPr>
        <w:t xml:space="preserve">Zitiervorschlag: § 85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