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NeuGlV — Eintragung in gesperrten Wohnstätten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Eintragung in gesperrten Wohnstätten sind deren Bewohner zugelassen, die einen Eintragungsschein haben.</w:t>
      </w:r>
    </w:p>
    <w:p>
      <w:r>
        <w:t xml:space="preserve">(2) Die Gemeindebehörde bestimmt</w:t>
      </w:r>
    </w:p>
    <w:p>
      <w:pPr>
        <w:ind w:left="420"/>
      </w:pPr>
      <w:r>
        <w:t xml:space="preserve">1. einen oder mehrere Orte an der Grenze der gesperrten Wohnstätte, an denen die Eintragungsblätter ausgelegt werden,</w:t>
      </w:r>
    </w:p>
    <w:p>
      <w:pPr>
        <w:ind w:left="420"/>
      </w:pPr>
      <w:r>
        <w:t xml:space="preserve">2. die Eintragungszeit innerhalb der Eintragungsfrist.</w:t>
      </w:r>
    </w:p>
    <w:p>
      <w:r>
        <w:t xml:space="preserve">§ 82 Abs. 2 Satz 2 und 3 gilt entsprechend.</w:t>
      </w:r>
    </w:p>
    <w:p>
      <w:r>
        <w:t xml:space="preserve">(3) Die Gemeindebehörde gibt spätestens einen Tag vor Beginn der Eintragungszeit die Eintragungsorte und die Eintragungszeit bekannt und weist dabei auf die Möglichkeit der Eintragung nach § 82 Abs. 2 Satz 3 hin.</w:t>
      </w:r>
    </w:p>
    <w:p>
      <w:r>
        <w:t xml:space="preserve">(4) Kann das Eintragungsblatt den Eintragungsberechtigten nicht zur Unterschrift ausgehändigt werden, so wird diese durch die Feststellung der Erklärung ersetzt. § 78 Abs. 2 Satz 2 gilt entsprechend.</w:t>
      </w:r>
    </w:p>
    <w:p>
      <w:r>
        <w:t xml:space="preserve">(5) Im übrigen gelten die allgemeinen Bestimmungen.</w:t>
      </w:r>
    </w:p>
    <w:p>
      <w:r>
        <w:rPr>
          <w:color w:val="555555"/>
          <w:sz w:val="17"/>
        </w:rPr>
        <w:t xml:space="preserve">Zitiervorschlag: § 83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