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NeuGlV — Vermerk im Eintragungsberechtigtenverzeichnis</w:t>
      </w:r>
    </w:p>
    <w:p>
      <w:r>
        <w:rPr>
          <w:color w:val="555555"/>
          <w:sz w:val="18"/>
        </w:rPr>
        <w:t xml:space="preserve">Neugliederungsdurchführungsverordnung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ein Eintragungsberechtigter einen Eintragungsschein erhalten, so wird im Eintragungsberechtigtenverzeichnis in der Spalte für den Vermerk über die Ausübung des Eintragungsrechts "Eintragungsschein" oder "E" eingetragen.</w:t>
      </w:r>
    </w:p>
    <w:p>
      <w:r>
        <w:rPr>
          <w:color w:val="555555"/>
          <w:sz w:val="17"/>
        </w:rPr>
        <w:t xml:space="preserve">Zitiervorschlag: § 66 NeuGlV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https://recht.nulegal.eu/gesetze/NeuGlV/66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