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54 NeuGlV — Aufforderung zu Vorschlägen für die Berufung der Eintragungsausschußbeisitzer</w:t>
      </w:r>
    </w:p>
    <w:p>
      <w:r>
        <w:rPr>
          <w:color w:val="555555"/>
          <w:sz w:val="18"/>
        </w:rPr>
        <w:t xml:space="preserve">Neugliederungsdurchführungsverordnung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In den öffentlichen Bekanntmachungen (§ 53 Satz 2, § 1 Abs. 1 Satz 2) ist zugleich unter Fristsetzung auf die Möglichkeit hinzuweisen, Eintragungsberechtigte als Beisitzer für die Eintragungsausschüsse und als stellvertretende Beisitzer vorzuschlagen.</w:t>
      </w:r>
    </w:p>
    <w:p>
      <w:r>
        <w:rPr>
          <w:color w:val="555555"/>
          <w:sz w:val="17"/>
        </w:rPr>
        <w:t xml:space="preserve">Zitiervorschlag: § 54 NeuGlV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https://recht.nulegal.eu/gesetze/NeuGlV/54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