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NeuGlV — Zurücknahme und Änderung des Zulassungsantrags</w:t>
      </w:r>
    </w:p>
    <w:p>
      <w:r>
        <w:rPr>
          <w:color w:val="555555"/>
          <w:sz w:val="18"/>
        </w:rPr>
        <w:t xml:space="preserve">Neugliederungsdurchführungsverordnung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Zurücknahme und die Änderung des Zulassungsantrags gelten die §§ 47 bis 50 entsprechend.</w:t>
      </w:r>
    </w:p>
    <w:p>
      <w:r>
        <w:t xml:space="preserve">(2) Soweit eine Änderung des Antrags zur Behebung eines seiner Zulassung entgegenstehenden Mangels erforderlich ist, erfolgt sie durch Erklärung des Vertrauensmanns oder seines Stellvertreters.</w:t>
      </w:r>
    </w:p>
    <w:p>
      <w:r>
        <w:rPr>
          <w:color w:val="555555"/>
          <w:sz w:val="17"/>
        </w:rPr>
        <w:t xml:space="preserve">Zitiervorschlag: § 51 NeuGlV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https://recht.nulegal.eu/gesetze/NeuGlV/51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