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NeuGlV — Unterzeichnung des Zulassungsantrags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Unterzeichner des Zulassungsantrags müssen sich in die Unterschriftsblätter persönlich und handschriftlich mit Vor- und Familiennamen eintragen. Der Unterschrift sollen die Angabe von Geburtstag und Geburtsort sowie Wohnort und Wohnung, bei mehreren Wohnungen die Angabe der Hauptwohnung, hinzugefügt werden.</w:t>
      </w:r>
    </w:p>
    <w:p>
      <w:r>
        <w:t xml:space="preserve">(2) Welche von mehreren Wohnungen eines Unterzeichners seine Hauptwohnung ist, bestimmt sich nach den Vorschriften des Melderechts.</w:t>
      </w:r>
    </w:p>
    <w:p>
      <w:r>
        <w:t xml:space="preserve">(3) Eintragungen, welche die Person des Unterzeichners nicht zweifelsfrei erkennen lassen, sind ungültig.</w:t>
      </w:r>
    </w:p>
    <w:p>
      <w:r>
        <w:rPr>
          <w:color w:val="555555"/>
          <w:sz w:val="17"/>
        </w:rPr>
        <w:t xml:space="preserve">Zitiervorschlag: § 48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