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NeuGlV — Überprüfung der Abstimmung durch die Landesabstimmungsleiter und den Gesamtabstimmungsleiter</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Landesabstimmungsleiter und der Gesamtabstimmungsleiter prüfen, ob die Abstimmung nach den Vorschriften des Gesetzes über das Verfahren bei Volksentscheid, Volksbegehren und Volksbefragung nach Artikel 29 Abs. 6 des Grundgesetzes und der auf Grund dieses Gesetzes erlassenen Verordnungen durchgeführt worden ist. Nach dem Ergebnis ihrer Prüfung entscheiden sie, ob Einspruch gegen die Abstimmung einzulegen ist.</w:t>
      </w:r>
    </w:p>
    <w:p>
      <w:r>
        <w:t xml:space="preserve">(2) Auf Anforderung haben die Kreisabstimmungsleiter dem Landesabstimmungsleiter und über diesen dem Gesamtabstimmungsleiter die bei ihnen, den Gemeinden und Verwaltungsbehörden der Kreise vorhandenen Abstimmungsunterlagen zu übersenden. Der Gesamtabstimmungsleiter kann verlangen, daß ihm die Landesabstimmungsleiter die bei ihnen vorhandenen Abstimmungsunterlagen übersenden.</w:t>
      </w:r>
    </w:p>
    <w:p>
      <w:r>
        <w:rPr>
          <w:color w:val="555555"/>
          <w:sz w:val="17"/>
        </w:rPr>
        <w:t xml:space="preserve">Zitiervorschlag: § 45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