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NeuGlV — Abschließende Ermittlung und Feststellung des Abstimmungsergebnisses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Der Gesamtabstimmungsleiter prüft die Abstimmungsniederschriften der Landesabstimmungsausschüsse. Er stellt nach den Niederschriften der Landes- und Kreisabstimmungsausschüsse gesondert für jeden Abstimmungsbereich und gesondert für jedes der betroffenen Länder</w:t>
      </w:r>
    </w:p>
    <w:p>
      <w:pPr>
        <w:ind w:left="420"/>
      </w:pPr>
      <w:r>
        <w:t xml:space="preserve">1. das Abstimmungsergebnis mit den im § 40 Abs. 2 Satz 1 Nr. 1 bis 7 bezeichneten Angaben</w:t>
      </w:r>
    </w:p>
    <w:p>
      <w:r>
        <w:t xml:space="preserve">zusammen und ermittelt</w:t>
      </w:r>
    </w:p>
    <w:p>
      <w:pPr>
        <w:ind w:left="420"/>
      </w:pPr>
      <w:r>
        <w:t xml:space="preserve">2. die im § 40 Abs. 3 Satz 1 Nr. 1 bis 4 bezeichneten Vom-Hundert-Sätze. § 41 Abs. 2 Satz 2 gilt entsprechend.</w:t>
      </w:r>
    </w:p>
    <w:p>
      <w:r>
        <w:t xml:space="preserve">Im Falle des § 14 Abs. 1 Satz 9 des Gesetzes ist zusätzlich das Gesamtergebnis der mehreren Gebietsteile nach den Vorschriften des Satzes 2 zu ermitteln und auszuweisen.</w:t>
      </w:r>
    </w:p>
    <w:p>
      <w:r>
        <w:t xml:space="preserve">(2) Nach Berichterstattung durch den Gesamtabstimmungsleiter stellt der Gesamtabstimmungsausschuß fest</w:t>
      </w:r>
    </w:p>
    <w:p>
      <w:pPr>
        <w:ind w:left="420"/>
      </w:pPr>
      <w:r>
        <w:t xml:space="preserve">1. getrennt für jedes der betroffenen Länder und, soweit sich aus § 14 Abs. 2 Satz 1 des Gesetzes nicht etwas anderes ergibt, getrennt für jeden Abstimmungsbereich das endgültige Abstimmungsergebnis im Abstimmungsgebiet mit den im § 40 Abs. 2 Satz 1 Nr. 1 bis 7 bezeichneten Angaben,</w:t>
      </w:r>
    </w:p>
    <w:p>
      <w:pPr>
        <w:ind w:left="420"/>
      </w:pPr>
      <w:r>
        <w:t xml:space="preserve">2. ob der Volksentscheid nach Artikel 29 Abs. 3 Satz 3 und 4 des Grundgesetzes zustande gekommen ist oder nicht.</w:t>
      </w:r>
    </w:p>
    <w:p>
      <w:r>
        <w:t xml:space="preserve">(3) § 40 Abs. 3 ist entsprechend anzuwenden. Das Abstimmungsergebnis ist entsprechend Absatz 1 Satz 2 und 3 auszuweisen.</w:t>
      </w:r>
    </w:p>
    <w:p>
      <w:r>
        <w:t xml:space="preserve">(4) Der Gesamtabstimmungsleiter übersendet dem Bundesminister des Innern, für Bau und Heimat eine Ausfertigung der Niederschrift des Gesamtabstimmungsausschusses mit der dazugehörigen Zusammenstellung.</w:t>
      </w:r>
    </w:p>
    <w:p>
      <w:r>
        <w:rPr>
          <w:color w:val="555555"/>
          <w:sz w:val="17"/>
        </w:rPr>
        <w:t xml:space="preserve">Zitiervorschlag: § 42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