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NeuGlV — Ermittlung und Feststellung des Briefabstimmungsergebnisses in den Kreisen und kreisfreien Städten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Nachdem die Stimmumschläge den Stimmbriefen entnommen und in die Stimmurne gelegt worden sind, jedoch nicht vor Schluß der allgemeinen Abstimmungszeit, ermittelt der Briefabstimmungsvorstand das Abstimmungsergebnis mit den im § 26 Nr. 2 bis 6 bezeichneten Angaben und stellt es fest; die §§ 27 bis 29 gelten entsprechend.</w:t>
      </w:r>
    </w:p>
    <w:p>
      <w:r>
        <w:t xml:space="preserve">(2) Sobald das Briefabstimmungsergebnis festgestellt ist, meldet es der Briefabstimmungsvorsteher auf schnellstem Wege dem Kreisabstimmungsleiter.</w:t>
      </w:r>
    </w:p>
    <w:p>
      <w:r>
        <w:t xml:space="preserve">(3) Über die Zulassung der Stimmbriefe sowie die Ermittlung und Feststellung des Briefabstimmungsergebnisses ist vom Schriftführer eine Niederschrift zu fertigen. Dieser sind beizufügen:</w:t>
      </w:r>
    </w:p>
    <w:p>
      <w:pPr>
        <w:ind w:left="420"/>
      </w:pPr>
      <w:r>
        <w:t xml:space="preserve">1. die Stimmzettel und Stimmumschläge, über die der Briefabstimmungsvorstand entsprechend § 28 Abs. 5 besonders beschlossen hat,</w:t>
      </w:r>
    </w:p>
    <w:p>
      <w:pPr>
        <w:ind w:left="420"/>
      </w:pPr>
      <w:r>
        <w:t xml:space="preserve">2. die Stimmbriefe, die der Briefabstimmungsvorstand zurückgewiesen hat,</w:t>
      </w:r>
    </w:p>
    <w:p>
      <w:pPr>
        <w:ind w:left="420"/>
      </w:pPr>
      <w:r>
        <w:t xml:space="preserve">3. die Stimmscheine, über die der Briefabstimmungsvorstand beschlossen hat, ohne daß die Stimmbriefe zurückgewiesen wurden.</w:t>
      </w:r>
    </w:p>
    <w:p>
      <w:r>
        <w:t xml:space="preserve">(4) Der Briefabstimmungsvorsteher übergibt die Abstimmungsniederschrift mit den Anlagen unverzüglich dem Kreisabstimmungsleiter. § 31 Abs. 4 gilt entsprechend.</w:t>
      </w:r>
    </w:p>
    <w:p>
      <w:r>
        <w:t xml:space="preserve">(5) Der Briefabstimmungsvorsteher verpackt die Abstimmungsunterlagen und übergibt sie der nach § 6 Nr. 3 für die Einberufung des Briefabstimmungsvorstands zuständigen Stelle, die die Unterlagen verwahrt, bis deren Vernichtung zugelassen ist (§ 98 Abs. 1); § 32 gilt entsprechend.</w:t>
      </w:r>
    </w:p>
    <w:p>
      <w:r>
        <w:t xml:space="preserve">(6) Im übrigen gelten für die Tätigkeit des Briefabstimmungsvorstands die für den Abstimmungsvorstand geltenden Bestimmungen entsprechend.</w:t>
      </w:r>
    </w:p>
    <w:p>
      <w:r>
        <w:t xml:space="preserve">(7) Das Abstimmungsergebnis der Briefabstimmung wird vom Kreisabstimmungsleiter in die Schnellmeldung nach § 30 Abs. 3 und in die Zusammenstellung des endgültigen Abstimmungsergebnisses des Kreises oder der kreisfreien Stadt nach § 40 übernommen.</w:t>
      </w:r>
    </w:p>
    <w:p>
      <w:r>
        <w:rPr>
          <w:color w:val="555555"/>
          <w:sz w:val="17"/>
        </w:rPr>
        <w:t xml:space="preserve">Zitiervorschlag: § 37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