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NeuGlV — Behandlung der verspätet eingegangenen Stimmbriefe</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für den Eingang der Stimmbriefe zuständige Stelle nimmt die verspätet eingegangenen Stimmbriefe an. Sie vermerkt auf jedem am Abstimmungstag nach Schluß der Abstimmungszeit eingegangenen Stimmbrief Tag und Uhrzeit des Eingangs, auf den vom nächsten Tag an eingehenden Stimmbriefen nur den Eingangstag.</w:t>
      </w:r>
    </w:p>
    <w:p>
      <w:r>
        <w:t xml:space="preserve">(2) Die verspätet eingegangenen Stimmbriefe werden von der zuständigen Stelle ungeöffnet verpackt. Das Paket wird von ihr versiegelt, mit einer Inhaltsangabe versehen und verwahrt, bis die Vernichtung der Stimmbriefe zugelassen ist (§ 98 Abs. 1). Sie hat sicherzustellen, daß das Paket Unbefugten nicht zugänglich ist.</w:t>
      </w:r>
    </w:p>
    <w:p>
      <w:r>
        <w:rPr>
          <w:color w:val="555555"/>
          <w:sz w:val="17"/>
        </w:rPr>
        <w:t xml:space="preserve">Zitiervorschlag: § 35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