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NeuGlV — Bildung der Abstimmungsausschüsse</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Die Abstimmungsleiter berufen unverzüglich nach Ablauf der nach § 2 Abs. 1 bestimmten Frist die Beisitzer der Abstimmungsausschüsse und für jeden Beisitzer einen Stellvertreter. Die Beisitzer und die stellvertretenden Beisitzer sind nach Möglichkeit aus den Stimmberechtigten aller Abstimmungsbereiche des jeweiligen Gebiets zu berufen.</w:t>
      </w:r>
    </w:p>
    <w:p>
      <w:r>
        <w:t xml:space="preserve">(2) Bei der Auswahl der Beisitzer und der stellvertretenden Beisitzer der Abstimmungsausschüsse sollen in der Regel die Parteien in der Reihenfolge der bei der letzten Landtagswahl in dem jeweiligen Gebiet errungenen Zahlen der Stimmen und solche Vereinigungen, die ein berechtigtes Interesse nachweisen, angemessen berücksichtigt und die von ihnen rechtzeitig vorgeschlagenen Stimmberechtigten (§ 2) berufen werden.</w:t>
      </w:r>
    </w:p>
    <w:p>
      <w:r>
        <w:t xml:space="preserve">(3) Die Abstimmungsausschüsse bestehen nach der Abstimmung bis zu dem Zeitpunkt fort, in dem die Amtszeit der Abstimmungsleiter und ihrer Stellvertreter endet.</w:t>
      </w:r>
    </w:p>
    <w:p>
      <w:r>
        <w:rPr>
          <w:color w:val="555555"/>
          <w:sz w:val="17"/>
        </w:rPr>
        <w:t xml:space="preserve">Zitiervorschlag: § 3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