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NeuGlV — Ermittlung und Feststellung des Abstimmungsergebnisses im Stimmbezirk</w:t>
      </w:r>
    </w:p>
    <w:p>
      <w:r>
        <w:rPr>
          <w:color w:val="555555"/>
          <w:sz w:val="18"/>
        </w:rPr>
        <w:t xml:space="preserve">Neugliederungsdurchführungsverordnung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Anschluß an die Abstimmungshandlung ermittelt der Abstimmungsvorstand unverzüglich das Abstimmungsergebnis im Stimmbezirk und stellt fest</w:t>
      </w:r>
    </w:p>
    <w:p>
      <w:pPr>
        <w:ind w:left="420"/>
      </w:pPr>
      <w:r>
        <w:t xml:space="preserve">1. die Zahl der Stimmberechtigten,</w:t>
      </w:r>
    </w:p>
    <w:p>
      <w:pPr>
        <w:ind w:left="420"/>
      </w:pPr>
      <w:r>
        <w:t xml:space="preserve">2. die Zahl der Abstimmenden,</w:t>
      </w:r>
    </w:p>
    <w:p>
      <w:pPr>
        <w:ind w:left="420"/>
      </w:pPr>
      <w:r>
        <w:t xml:space="preserve">3. die Zahl der gültigen Stimmen,</w:t>
      </w:r>
    </w:p>
    <w:p>
      <w:pPr>
        <w:ind w:left="420"/>
      </w:pPr>
      <w:r>
        <w:t xml:space="preserve">4. die Zahl der ungültigen Stimmen,</w:t>
      </w:r>
    </w:p>
    <w:p>
      <w:pPr>
        <w:ind w:left="420"/>
      </w:pPr>
      <w:r>
        <w:t xml:space="preserve">5. die Zahl der für das Bestehenbleiben der betroffenen Länder wie bisher abgegebenen gültigen Stimmen und</w:t>
      </w:r>
    </w:p>
    <w:p>
      <w:pPr>
        <w:ind w:left="420"/>
      </w:pPr>
      <w:r>
        <w:t xml:space="preserve">6. die Zahl der für die Bildung des neuen oder neu umgrenzten Landes abgegebenen gültigen Stimmen.</w:t>
      </w:r>
    </w:p>
    <w:p>
      <w:r>
        <w:rPr>
          <w:color w:val="555555"/>
          <w:sz w:val="17"/>
        </w:rPr>
        <w:t xml:space="preserve">Zitiervorschlag: § 26 NeuGlV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https://recht.nulegal.eu/gesetze/NeuGlV/26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