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NeuGlV — Ungültigkeitserklärung von Stimmscheinen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 Stimmberechtigter, der bereits einen Stimmschein erhalten hat, im Stimmberechtigtenverzeichnis gestrichen, so ist der Stimmschein für ungültig zu erklären. Die Gemeindebehörde verständigt über den Kreisabstimmungsleiter den Landesabstimmungsleiter; dieser unterrichtet alle Kreisabstimmungsleiter des Abstimmungsbereichs, und diese unterrichten alle Abstimmungsvorstände ihres Kreises oder ihrer kreisfreien Stadt über die Ungültigkeit des Stimmscheins. Das Stimmscheinverzeichnis ist zu berichtigen.</w:t>
      </w:r>
    </w:p>
    <w:p>
      <w:r>
        <w:t xml:space="preserve">(2) In den Fällen des § 12 Abs. 4 des Gesetzes ist im Stimmscheinverzeichnis zu vermerken, daß die Stimme eines Abstimmenden, der an der Briefabstimmung bereits teilgenommen hat, nicht ungültig ist.</w:t>
      </w:r>
    </w:p>
    <w:p>
      <w:r>
        <w:rPr>
          <w:color w:val="555555"/>
          <w:sz w:val="17"/>
        </w:rPr>
        <w:t xml:space="preserve">Zitiervorschlag: § 16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