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NeuGlV — Entscheidung über die Stimmscheinanträge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Gemeindebehörde hat über den Antrag auf Erteilung eines Stimmscheins unverzüglich zu entscheiden. In einer ablehnenden Entscheidung ist auf die Möglichkeit und die Form des Einspruchs hinzuweisen.</w:t>
      </w:r>
    </w:p>
    <w:p>
      <w:r>
        <w:t xml:space="preserve">(2) Verspätet eingegangene schriftliche Anträge sind unbearbeitet mit den dazugehörigen Briefumschlägen zu verpacken und aufzubewahren, bis die Vernichtung der Abstimmungsunterlagen zugelassen ist (§ 98 Abs. 1).</w:t>
      </w:r>
    </w:p>
    <w:p>
      <w:r>
        <w:t xml:space="preserve">(3) Die Vorschriften der Bundeswahlordnung über den Einspruch gegen die Versagung des Wahlscheins und die Beschwerde sind entsprechend anzuwenden.</w:t>
      </w:r>
    </w:p>
    <w:p>
      <w:r>
        <w:rPr>
          <w:color w:val="555555"/>
          <w:sz w:val="17"/>
        </w:rPr>
        <w:t xml:space="preserve">Zitiervorschlag: § 13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