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NetzDG — Bußgeldvorschriften</w:t>
      </w:r>
    </w:p>
    <w:p>
      <w:r>
        <w:rPr>
          <w:color w:val="555555"/>
          <w:sz w:val="18"/>
        </w:rPr>
        <w:t xml:space="preserve">Netzwerkdurchsetzungsgesetz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Ordnungswidrig handelt, wer vorsätzlich oder fahrlässig entgegen § 5 Satz 1 einen Zustellungsbevollmächtigten nicht benennt.</w:t>
      </w:r>
    </w:p>
    <w:p>
      <w:r>
        <w:t xml:space="preserve">(2) Die Ordnungswidrigkeit kann mit einer Geldbuße bis zu fünfhunderttausend Euro geahndet werden. § 30 Absatz 2 Satz 3 des Gesetzes über Ordnungswidrigkeiten ist anzuwenden.</w:t>
      </w:r>
    </w:p>
    <w:p>
      <w:r>
        <w:t xml:space="preserve">(3) Die Ordnungswidrigkeit kann auch dann geahndet werden, wenn sie nicht im Inland begangen wird.</w:t>
      </w:r>
    </w:p>
    <w:p>
      <w:r>
        <w:t xml:space="preserve">(4) Verwaltungsbehörde im Sinne des § 36 Absatz 1 Nummer 1 des Gesetzes über Ordnungswidrigkeiten ist das Bundesamt für Justiz.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4 NetzDG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https://recht.nulegal.eu/gesetze/NetzDG/4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