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NetNullZuVO (Sachsen)</w:t>
      </w:r>
    </w:p>
    <w:p>
      <w:r>
        <w:rPr>
          <w:color w:val="555555"/>
          <w:sz w:val="18"/>
        </w:rPr>
        <w:t xml:space="preserve">Netto-Null-Kontaktstellen-Zuständigkeitsverordnung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16 Absatz 1 Satz 2 Nummer 2 des Sächsischen Verwaltungsorganisationsgesetzes vom 25. November 2003 (SächsGVBl. S. 899) verordnet das Staatsministerium für Wirtschaft, Arbeit und Verkehr mit Zustimmung der Staatsregierung:</w:t>
      </w:r>
    </w:p>
    <w:p>
      <w:r>
        <w:rPr>
          <w:color w:val="555555"/>
          <w:sz w:val="17"/>
        </w:rPr>
        <w:t xml:space="preserve">Zitiervorschlag: Eingangsformel NetNullZuVO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https://recht.nulegal.eu/gesetze/NetNullZuVO/eingangsformel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