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NetNullZuVO (Sachsen) — Inkrafttreten</w:t>
      </w:r>
    </w:p>
    <w:p>
      <w:r>
        <w:rPr>
          <w:color w:val="555555"/>
          <w:sz w:val="18"/>
        </w:rPr>
        <w:t xml:space="preserve">Netto-Null-Kontaktstellen-Zuständigkeitsverordnung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17. Dezember 2024</w:t>
      </w:r>
    </w:p>
    <w:p>
      <w:r>
        <w:t xml:space="preserve">Der Staatsminister für Wirtschaft, Arbeit und Verkehr</w:t>
      </w:r>
    </w:p>
    <w:p>
      <w:r>
        <w:t xml:space="preserve">Martin Dulig</w:t>
      </w:r>
    </w:p>
    <w:p>
      <w:r>
        <w:rPr>
          <w:color w:val="555555"/>
          <w:sz w:val="17"/>
        </w:rPr>
        <w:t xml:space="preserve">Zitiervorschlag: § 2 NetNullZuVO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https://recht.nulegal.eu/gesetze/NetNullZuVO/2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