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NetNullZuVO (Sachsen) — Übertragung der Zuständigkeit</w:t>
      </w:r>
    </w:p>
    <w:p>
      <w:r>
        <w:rPr>
          <w:color w:val="555555"/>
          <w:sz w:val="18"/>
        </w:rPr>
        <w:t xml:space="preserve">Netto-Null-Kontaktstellen-Zuständigkeitsverordnung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 Aufgaben der zentralen Kontaktstelle nach Artikel 6 Absatz 1 der Verordnung (EU) 2024/1735 des Europäischen Parlaments und des Rates vom 13. Juni 2024 zur Schaffung eines Rahmens für Maßnahmen zur Stärkung des europäischen Ökosystems der Fertigung von Netto-Null-Technologien und zur Änderung der Verordnung (EU) 2018/1724 (ABl. L, 2024/1735, 28.6.2024) werden für das Gebiet des Freistaates Sachsen auf die Landesdirektion Sachsen übertragen.</w:t>
      </w:r>
    </w:p>
    <w:p>
      <w:r>
        <w:rPr>
          <w:color w:val="555555"/>
          <w:sz w:val="17"/>
        </w:rPr>
        <w:t xml:space="preserve">Zitiervorschlag: § 1 NetNullZuVO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https://recht.nulegal.eu/gesetze/NetNullZuVO/1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