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NemV — Zugelassene Stoffe</w:t>
      </w:r>
    </w:p>
    <w:p>
      <w:r>
        <w:rPr>
          <w:color w:val="555555"/>
          <w:sz w:val="18"/>
        </w:rPr>
        <w:t xml:space="preserve">Nahrungsergänzungsmittelverordnung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Herstellung eines Nahrungsergänzungsmittels dürfen nur die in Anhang I der Richtlinie 2002/46/EG des Europäischen Parlaments und des Rates vom 10. Juni 2002 zur Angleichung der Rechtsvorschriften der Mitgliedstaaten über Nahrungsergänzungsmittel (ABl. L 183 vom 12.7.2002, S. 51) aufgeführten Nährstoffe im Sinne des § 1 Absatz 2 in den in Anhang II der Richtlinie 2002/46/EG aufgeführten Formen verwendet werden. Die Anhänge I und II der Richtlinie 2002/46/EG sind jeweils in der am 5. Dezember 2011 geltenden Fassung (ABl. L 296 vom 15.11.2011, S. 29) anzuwenden.</w:t>
      </w:r>
    </w:p>
    <w:p>
      <w:r>
        <w:t xml:space="preserve">(2) Die in Anhang II der Richtlinie 2002/46/EG, in der am 5. Dezember 2011 geltenden Fassung (ABl. L 296 vom 15.11.2011, S. 29), genannten Stoffe müssen vorbehaltlich des Satzes 2 den in der Verordnung (EU) Nr. 231/2012 der Kommission vom 9. März 2012 mit Spezifikationen für die in den Anhängen II und III der Verordnung (EG) Nr. 1333/2008 des Europäischen Parlaments und des Rates aufgeführten Lebensmittelzusatzstoffe (ABl. L 83 vom 22.3.2012, S. 1), in der jeweils geltenden Fassung, festgelegten Reinheitsanforderungen entsprechen. Stoffe des Anhangs II der Richtlinie 2002/46/EG, in der am 5. Dezember 2011 geltenden Fassung (ABl. L 296 vom 15.11.2011, S. 29), die nicht in der Verordnung (EU) Nr. 231/2012 aufgeführt sind, müssen den nach den allgemein anerkannten Regeln der Technik erreichbaren Reinheitsanforderungen entsprechen.</w:t>
      </w:r>
    </w:p>
    <w:p>
      <w:r>
        <w:rPr>
          <w:color w:val="555555"/>
          <w:sz w:val="17"/>
        </w:rPr>
        <w:t xml:space="preserve">Zitiervorschlag: § 3 NemV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https://recht.nulegal.eu/gesetze/NemV/3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