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NelkenwV</w:t>
      </w:r>
    </w:p>
    <w:p>
      <w:r>
        <w:rPr>
          <w:color w:val="555555"/>
          <w:sz w:val="18"/>
        </w:rPr>
        <w:t xml:space="preserve">Verordnung zur Bekämpfung von Nelkenwicklern</w:t>
      </w:r>
    </w:p>
    <w:p>
      <w:r>
        <w:rPr>
          <w:color w:val="555555"/>
          <w:sz w:val="18"/>
        </w:rPr>
        <w:t xml:space="preserve">Historische Fassung: Stand 10.06.2019 bis 19.10.2023. Dies ist nicht die aktuelle Fassung.</w:t>
      </w:r>
    </w:p>
    <w:p>
      <w:r>
        <w:t xml:space="preserve">Auf Grund des § 3 Abs. 1 Nr. 1, 3 und 15 des Pflanzenschutzgesetzes in der Fassung der Bekanntmachung vom 2. Oktober 1975 (Bundesgesetzbl. I S. 2591) wird mit Zustimmung des Bundesrates verordnet:</w:t>
      </w:r>
    </w:p>
    <w:p>
      <w:r>
        <w:rPr>
          <w:color w:val="555555"/>
          <w:sz w:val="17"/>
        </w:rPr>
        <w:t xml:space="preserve">Zitiervorschlag: Eingangsformel NelkenwV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https://recht.nulegal.eu/gesetze/NelkenwV/eingangsformel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