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NelkenwV</w:t>
      </w:r>
    </w:p>
    <w:p>
      <w:r>
        <w:rPr>
          <w:color w:val="555555"/>
          <w:sz w:val="18"/>
        </w:rPr>
        <w:t xml:space="preserve">Verordnung zur Bekämpfung von Nelkenwicklern</w:t>
      </w:r>
    </w:p>
    <w:p>
      <w:r>
        <w:rPr>
          <w:color w:val="555555"/>
          <w:sz w:val="18"/>
        </w:rPr>
        <w:t xml:space="preserve">Historische Fassung: Stand 10.06.2019 bis 19.10.2023. Dies ist nicht die aktuelle Fassung.</w:t>
      </w:r>
    </w:p>
    <w:p>
      <w:r>
        <w:t xml:space="preserve">Die zuständige Behörde kann im Einzelfall Ausnahmen von den §§ 2 und 3 für wissenschaftliche Untersuchungen, für die Prüfung von Bekämpfungsmitteln und -verfahren und für Züchtungsvorhaben genehmigen, soweit hierdurch die Bekämpfung der Nelkenwickler nicht beeinträchtigt wird und keine Gefahr einer Ausbreitung dieser Schadorganismen besteht.</w:t>
      </w:r>
    </w:p>
    <w:p>
      <w:r>
        <w:rPr>
          <w:color w:val="555555"/>
          <w:sz w:val="17"/>
        </w:rPr>
        <w:t xml:space="preserve">Zitiervorschlag: § 4 NelkenwV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https://recht.nulegal.eu/gesetze/NelkenwV/4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