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NelkenwV</w:t>
      </w:r>
    </w:p>
    <w:p>
      <w:r>
        <w:rPr>
          <w:color w:val="555555"/>
          <w:sz w:val="18"/>
        </w:rPr>
        <w:t xml:space="preserve">Verordnung zur Bekämpfung von Nelkenwicklern</w:t>
      </w:r>
    </w:p>
    <w:p>
      <w:r>
        <w:rPr>
          <w:color w:val="555555"/>
          <w:sz w:val="18"/>
        </w:rPr>
        <w:t xml:space="preserve">Historische Fassung: Stand 10.06.2019 bis 19.10.2023. Dies ist nicht die aktuelle Fassung.</w:t>
      </w:r>
    </w:p>
    <w:p>
      <w:r>
        <w:t xml:space="preserve">Das Züchten und Halten von Nelkenwicklern sowie das Arbeiten mit diesen Schadorganismen sind verboten.</w:t>
      </w:r>
    </w:p>
    <w:p>
      <w:r>
        <w:rPr>
          <w:color w:val="555555"/>
          <w:sz w:val="17"/>
        </w:rPr>
        <w:t xml:space="preserve">Zitiervorschlag: § 3 NelkenwV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https://recht.nulegal.eu/gesetze/NelkenwV/3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