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NatSchZustV (Brandenburg) — Ordnungswidrigkeiten</w:t>
      </w:r>
    </w:p>
    <w:p>
      <w:r>
        <w:rPr>
          <w:color w:val="555555"/>
          <w:sz w:val="18"/>
        </w:rPr>
        <w:t xml:space="preserve">Naturschutzzuständigkeitsverordnung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Verwaltungsbehörde im Sinne des § 36 Absatz 1 Nummer 1 des Gesetzes über Ordnungswidrigkeiten ist die Fachbehörde für Naturschutz und Landschaftspflege, soweit sie gemäß § 1 Absatz 2 und 3 zuständig ist, im Übrigen die untere Naturschutzbehörde.</w:t>
      </w:r>
    </w:p>
    <w:p>
      <w:r>
        <w:rPr>
          <w:color w:val="555555"/>
          <w:sz w:val="17"/>
        </w:rPr>
        <w:t xml:space="preserve">Zitiervorschlag: § 8 NatSchZustV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https://recht.nulegal.eu/gesetze/NatSchZustV/8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