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NatSchZustV (Brandenburg) — Schutz bestimmter Biotope</w:t>
      </w:r>
    </w:p>
    <w:p>
      <w:r>
        <w:rPr>
          <w:color w:val="555555"/>
          <w:sz w:val="18"/>
        </w:rPr>
        <w:t xml:space="preserve">Naturschutzzuständigkeitsverordnung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21.08.2026 (konsolidierte Textfassung, kein amtliches Inkrafttretensdatum)</w:t>
      </w:r>
    </w:p>
    <w:p>
      <w:r>
        <w:t xml:space="preserve">Zuständig für das Führen und Fortschreiben des Verzeichnisses der gesetzlich geschützten Biotope gemäß § 18 Absatz 4 des Brandenburgischen Naturschutzausführungsgesetzes ist die Fachbehörde für Naturschutz und Landschaftspflege.</w:t>
      </w:r>
    </w:p>
    <w:p>
      <w:r>
        <w:rPr>
          <w:color w:val="555555"/>
          <w:sz w:val="17"/>
        </w:rPr>
        <w:t xml:space="preserve">Zitiervorschlag: § 6 NatSchZustV (Brandenburg)</w:t>
      </w:r>
    </w:p>
    <w:p>
      <w:r>
        <w:rPr>
          <w:color w:val="555555"/>
          <w:sz w:val="17"/>
        </w:rPr>
        <w:t xml:space="preserve">Quelle: bravors, abgerufen 21.08.2026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https://recht.nulegal.eu/gesetze/NatSchZustV/6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