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NatSchZustV (Brandenburg) — Kompensationsverzeichnis</w:t>
      </w:r>
    </w:p>
    <w:p>
      <w:r>
        <w:rPr>
          <w:color w:val="555555"/>
          <w:sz w:val="18"/>
        </w:rPr>
        <w:t xml:space="preserve">Naturschutzzuständigkeitsverordnung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Fachbehörde für Naturschutz und Landschaftspflege führt ein Kompensationsverzeichnis im Sinne des § 17 Absatz 6 des Bundesnaturschutzgesetzes.</w:t>
      </w:r>
    </w:p>
    <w:p>
      <w:r>
        <w:rPr>
          <w:color w:val="555555"/>
          <w:sz w:val="17"/>
        </w:rPr>
        <w:t xml:space="preserve">Zitiervorschlag: § 3 NatSchZustV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https://recht.nulegal.eu/gesetze/NatSchZustV/3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