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NatSchZuVO (Sachsen)</w:t>
      </w:r>
    </w:p>
    <w:p>
      <w:r>
        <w:rPr>
          <w:color w:val="555555"/>
          <w:sz w:val="18"/>
        </w:rPr>
        <w:t xml:space="preserve">Zuständigkeitsverordnung Naturschutz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46 Abs. 2 Satz 2 und § 48 Abs. 3 Satz 1 des Gesetzes über Naturschutz und Landschaftspflege im Freistaat Sachsen (Sächsisches Naturschutzgesetz – SächsNatSchG ) vom 6. Juni 2013 (SächsGVBl. S. 451) wird verordnet:</w:t>
      </w:r>
    </w:p>
    <w:p>
      <w:r>
        <w:rPr>
          <w:color w:val="555555"/>
          <w:sz w:val="17"/>
        </w:rPr>
        <w:t xml:space="preserve">Zitiervorschlag: Eingangsformel NatSchZuVO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https://recht.nulegal.eu/gesetze/NatSchZuVO/eingangsformel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