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NatSchZuVO (Sachsen) — Zuständigkeit für den Erlass von Verordnungen über das Landschaftsschutzgebiet Sächsische Schweiz</w:t>
      </w:r>
    </w:p>
    <w:p>
      <w:r>
        <w:rPr>
          <w:color w:val="555555"/>
          <w:sz w:val="18"/>
        </w:rPr>
        <w:t xml:space="preserve">Zuständigkeitsverordnung Naturschutz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48 Abs. 1 Satz 1 Nr. 2 SächsNatSchG ist die oberste Naturschutzbehörde für den Erlass von Rechtsverordnungen zuständig, die das Landschaftsschutzgebiet Sächsische Schweiz (als Teil der Nationalparkregion Sächsische Schweiz) betreffen. Abweichend von Satz 1 ist die obere Naturschutzbehörde für den Erlass von Rechtsverordnungen zuständig, die ausschließlich Regelungen zum räumlichen Geltungsbereich des Landschaftsschutzgebietes Sächsische Schweiz enthalten.</w:t>
      </w:r>
    </w:p>
    <w:p>
      <w:r>
        <w:rPr>
          <w:color w:val="555555"/>
          <w:sz w:val="17"/>
        </w:rPr>
        <w:t xml:space="preserve">Zitiervorschlag: § 4 NatSchZuVO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https://recht.nulegal.eu/gesetze/NatSchZuVO/4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NatSchZuVO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