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NatSchZuVO (Sachsen) — Aufgaben des Staatsbetriebes Staatliche Betriebsgesellschaft für Umwelt und Landwirtschaft</w:t>
      </w:r>
    </w:p>
    <w:p>
      <w:r>
        <w:rPr>
          <w:color w:val="555555"/>
          <w:sz w:val="18"/>
        </w:rPr>
        <w:t xml:space="preserve">Zuständigkeitsverordnung Naturschutz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Staatsbetrieb Staatliche Betriebsgesellschaft für Umwelt und Landwirtschaft hat die Aufgabe,</w:t>
      </w:r>
    </w:p>
    <w:p>
      <w:r>
        <w:t xml:space="preserve">1. als Staatliche Vogelschutzwarte Monitoringmaßnahmen nach der Richtlinie 2009/147/EG durchzuführen und die Daten den zuständigen Behörden zur Verfügung zu stellen;</w:t>
      </w:r>
    </w:p>
    <w:p>
      <w:r>
        <w:t xml:space="preserve">2. Monitoringmaßnahmen nach der Richtlinie 92/43/EWG durchzuführen und die Daten den zuständigen Behörden zur Verfügung zu stellen.</w:t>
      </w:r>
    </w:p>
    <w:p>
      <w:r>
        <w:rPr>
          <w:color w:val="555555"/>
          <w:sz w:val="17"/>
        </w:rPr>
        <w:t xml:space="preserve">Zitiervorschlag: § 3 NatSchZuVO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https://recht.nulegal.eu/gesetze/NatSchZuVO/3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